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6F15" w14:textId="77777777" w:rsidR="00F25348" w:rsidRDefault="00F25348" w:rsidP="00F25348">
      <w:pPr>
        <w:spacing w:line="480" w:lineRule="auto"/>
        <w:contextualSpacing/>
        <w:rPr>
          <w:rFonts w:ascii="Times New Roman" w:hAnsi="Times New Roman" w:cs="Times New Roman"/>
          <w:bCs/>
        </w:rPr>
      </w:pPr>
    </w:p>
    <w:p w14:paraId="7CE53F5C" w14:textId="77777777" w:rsidR="00F25348" w:rsidRDefault="00F25348" w:rsidP="00F25348">
      <w:pPr>
        <w:spacing w:line="480" w:lineRule="auto"/>
        <w:contextualSpacing/>
        <w:rPr>
          <w:rFonts w:ascii="Times New Roman" w:hAnsi="Times New Roman" w:cs="Times New Roman"/>
          <w:bCs/>
        </w:rPr>
      </w:pPr>
    </w:p>
    <w:p w14:paraId="01BCA3B6" w14:textId="77777777" w:rsidR="00F25348" w:rsidRDefault="00F25348" w:rsidP="00F25348">
      <w:pPr>
        <w:spacing w:line="480" w:lineRule="auto"/>
        <w:contextualSpacing/>
        <w:rPr>
          <w:rFonts w:ascii="Times New Roman" w:hAnsi="Times New Roman" w:cs="Times New Roman"/>
          <w:bCs/>
        </w:rPr>
      </w:pPr>
    </w:p>
    <w:p w14:paraId="3CE13730" w14:textId="77777777" w:rsidR="00F25348" w:rsidRDefault="00F25348" w:rsidP="00F25348">
      <w:pPr>
        <w:spacing w:line="480" w:lineRule="auto"/>
        <w:contextualSpacing/>
        <w:rPr>
          <w:rFonts w:ascii="Times New Roman" w:hAnsi="Times New Roman" w:cs="Times New Roman"/>
          <w:bCs/>
        </w:rPr>
      </w:pPr>
    </w:p>
    <w:p w14:paraId="270EFD84" w14:textId="79C5D1EF" w:rsidR="00F25348" w:rsidRDefault="00084538" w:rsidP="00F25348">
      <w:pPr>
        <w:spacing w:line="480" w:lineRule="auto"/>
        <w:contextualSpacing/>
        <w:jc w:val="center"/>
        <w:rPr>
          <w:rFonts w:ascii="Times New Roman" w:hAnsi="Times New Roman" w:cs="Times New Roman"/>
          <w:b/>
        </w:rPr>
      </w:pPr>
      <w:r>
        <w:rPr>
          <w:rFonts w:ascii="Times New Roman" w:hAnsi="Times New Roman" w:cs="Times New Roman"/>
          <w:b/>
        </w:rPr>
        <w:t>Theorist Analysis Paper</w:t>
      </w:r>
    </w:p>
    <w:p w14:paraId="0520699A" w14:textId="77777777" w:rsidR="00F25348" w:rsidRDefault="00F25348" w:rsidP="00F25348">
      <w:pPr>
        <w:spacing w:line="480" w:lineRule="auto"/>
        <w:contextualSpacing/>
        <w:jc w:val="center"/>
        <w:rPr>
          <w:rFonts w:ascii="Times New Roman" w:hAnsi="Times New Roman" w:cs="Times New Roman"/>
          <w:b/>
        </w:rPr>
      </w:pPr>
    </w:p>
    <w:p w14:paraId="477FF8B6" w14:textId="0010EEDF"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Francis D. Cacacho, BSN, RN</w:t>
      </w:r>
      <w:r w:rsidR="005C2928">
        <w:rPr>
          <w:rFonts w:ascii="Times New Roman" w:hAnsi="Times New Roman" w:cs="Times New Roman"/>
          <w:bCs/>
        </w:rPr>
        <w:t>, CCRN</w:t>
      </w:r>
    </w:p>
    <w:p w14:paraId="137527B3" w14:textId="77777777"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Department of Nursing, Pacific Union College</w:t>
      </w:r>
    </w:p>
    <w:p w14:paraId="1080BFBE" w14:textId="0DE397D0" w:rsidR="00F25348" w:rsidRDefault="00084538" w:rsidP="00F25348">
      <w:pPr>
        <w:spacing w:line="480" w:lineRule="auto"/>
        <w:contextualSpacing/>
        <w:jc w:val="center"/>
        <w:rPr>
          <w:rFonts w:ascii="Times New Roman" w:hAnsi="Times New Roman" w:cs="Times New Roman"/>
          <w:bCs/>
        </w:rPr>
      </w:pPr>
      <w:r>
        <w:rPr>
          <w:rFonts w:ascii="Times New Roman" w:hAnsi="Times New Roman" w:cs="Times New Roman"/>
          <w:bCs/>
        </w:rPr>
        <w:t>NURS 505: Theoretical Foundations of Advanced Nursing</w:t>
      </w:r>
    </w:p>
    <w:p w14:paraId="36489AF7" w14:textId="3F1E57E8" w:rsidR="00F25348" w:rsidRDefault="00084538" w:rsidP="00F25348">
      <w:pPr>
        <w:spacing w:line="480" w:lineRule="auto"/>
        <w:contextualSpacing/>
        <w:jc w:val="center"/>
        <w:rPr>
          <w:rFonts w:ascii="Times New Roman" w:hAnsi="Times New Roman" w:cs="Times New Roman"/>
          <w:bCs/>
        </w:rPr>
      </w:pPr>
      <w:r>
        <w:rPr>
          <w:rFonts w:ascii="Times New Roman" w:hAnsi="Times New Roman" w:cs="Times New Roman"/>
          <w:bCs/>
        </w:rPr>
        <w:t>Dr. Tamara Tirado</w:t>
      </w:r>
    </w:p>
    <w:p w14:paraId="1A6DBF63" w14:textId="4809E4E2" w:rsidR="00F25348" w:rsidRPr="00F25348" w:rsidRDefault="00084538" w:rsidP="00F25348">
      <w:pPr>
        <w:spacing w:line="480" w:lineRule="auto"/>
        <w:contextualSpacing/>
        <w:jc w:val="center"/>
        <w:rPr>
          <w:rFonts w:ascii="Times New Roman" w:hAnsi="Times New Roman" w:cs="Times New Roman"/>
          <w:bCs/>
        </w:rPr>
      </w:pPr>
      <w:r>
        <w:rPr>
          <w:rFonts w:ascii="Times New Roman" w:hAnsi="Times New Roman" w:cs="Times New Roman"/>
          <w:bCs/>
        </w:rPr>
        <w:t>March 18, 2024</w:t>
      </w:r>
    </w:p>
    <w:p w14:paraId="5190B8BC" w14:textId="380BF5E4" w:rsidR="005C2928" w:rsidRPr="005C2928" w:rsidRDefault="00F25348" w:rsidP="005C2928">
      <w:pPr>
        <w:rPr>
          <w:rFonts w:ascii="Times New Roman" w:hAnsi="Times New Roman" w:cs="Times New Roman"/>
          <w:b/>
          <w:u w:val="single"/>
        </w:rPr>
      </w:pPr>
      <w:r>
        <w:rPr>
          <w:rFonts w:ascii="Times New Roman" w:hAnsi="Times New Roman" w:cs="Times New Roman"/>
          <w:b/>
          <w:u w:val="single"/>
        </w:rPr>
        <w:br w:type="page"/>
      </w:r>
    </w:p>
    <w:p w14:paraId="1F6D77D7" w14:textId="0265C2AF" w:rsidR="00D57058" w:rsidRDefault="00084538" w:rsidP="00025A7A">
      <w:pPr>
        <w:spacing w:line="480" w:lineRule="auto"/>
        <w:contextualSpacing/>
        <w:jc w:val="center"/>
        <w:rPr>
          <w:rFonts w:ascii="Times New Roman" w:hAnsi="Times New Roman" w:cs="Times New Roman"/>
          <w:bCs/>
        </w:rPr>
      </w:pPr>
      <w:r>
        <w:rPr>
          <w:rFonts w:ascii="Times New Roman" w:hAnsi="Times New Roman" w:cs="Times New Roman"/>
          <w:bCs/>
        </w:rPr>
        <w:lastRenderedPageBreak/>
        <w:t>Theorist Analysis Paper</w:t>
      </w:r>
    </w:p>
    <w:p w14:paraId="7EC557CD" w14:textId="76E354AA" w:rsidR="00084538" w:rsidRDefault="00084538" w:rsidP="00084538">
      <w:pPr>
        <w:spacing w:line="480" w:lineRule="auto"/>
        <w:contextualSpacing/>
        <w:rPr>
          <w:rFonts w:ascii="Times New Roman" w:hAnsi="Times New Roman" w:cs="Times New Roman"/>
          <w:bCs/>
        </w:rPr>
      </w:pPr>
      <w:r>
        <w:rPr>
          <w:rFonts w:ascii="Times New Roman" w:hAnsi="Times New Roman" w:cs="Times New Roman"/>
          <w:bCs/>
        </w:rPr>
        <w:tab/>
      </w:r>
      <w:r w:rsidR="00BF70B9">
        <w:rPr>
          <w:rFonts w:ascii="Times New Roman" w:hAnsi="Times New Roman" w:cs="Times New Roman"/>
          <w:bCs/>
          <w:i/>
          <w:iCs/>
        </w:rPr>
        <w:t>Andragogy</w:t>
      </w:r>
      <w:r w:rsidR="00BF70B9">
        <w:rPr>
          <w:rFonts w:ascii="Times New Roman" w:hAnsi="Times New Roman" w:cs="Times New Roman"/>
          <w:bCs/>
        </w:rPr>
        <w:t xml:space="preserve"> is the unified theory of adult learning. The adult learning theory was around until Malcolm Knowles, an educator in North America, popularized it. </w:t>
      </w:r>
      <w:r w:rsidR="00440560">
        <w:rPr>
          <w:rFonts w:ascii="Times New Roman" w:hAnsi="Times New Roman" w:cs="Times New Roman"/>
          <w:bCs/>
        </w:rPr>
        <w:t xml:space="preserve">(McEwen &amp; Willis, 2023) </w:t>
      </w:r>
      <w:r w:rsidR="00BF70B9">
        <w:rPr>
          <w:rFonts w:ascii="Times New Roman" w:hAnsi="Times New Roman" w:cs="Times New Roman"/>
          <w:bCs/>
        </w:rPr>
        <w:t xml:space="preserve">Malcolm Knowles was </w:t>
      </w:r>
      <w:r w:rsidR="00440560">
        <w:rPr>
          <w:rFonts w:ascii="Times New Roman" w:hAnsi="Times New Roman" w:cs="Times New Roman"/>
          <w:bCs/>
        </w:rPr>
        <w:t xml:space="preserve">an educator who studied at Harvard for philosophy, literature, history, political science, ethics, and international law. Knowles took a job at the National Youth Administration to evaluate what skills and knowledge local employers were looking for; he then made courses to teach those skills to ensure young people were hired into these roles. While teaching the courses, his passion for conceptualizing </w:t>
      </w:r>
      <w:r w:rsidR="00440560">
        <w:rPr>
          <w:rFonts w:ascii="Times New Roman" w:hAnsi="Times New Roman" w:cs="Times New Roman"/>
          <w:bCs/>
          <w:i/>
          <w:iCs/>
        </w:rPr>
        <w:t>andragogy</w:t>
      </w:r>
      <w:r w:rsidR="00440560">
        <w:rPr>
          <w:rFonts w:ascii="Times New Roman" w:hAnsi="Times New Roman" w:cs="Times New Roman"/>
          <w:bCs/>
        </w:rPr>
        <w:t xml:space="preserve"> began, and its popularity increased. (</w:t>
      </w:r>
      <w:proofErr w:type="spellStart"/>
      <w:r w:rsidR="00440560">
        <w:rPr>
          <w:rFonts w:ascii="Times New Roman" w:hAnsi="Times New Roman" w:cs="Times New Roman"/>
          <w:bCs/>
        </w:rPr>
        <w:t>Cloke</w:t>
      </w:r>
      <w:proofErr w:type="spellEnd"/>
      <w:r w:rsidR="00440560">
        <w:rPr>
          <w:rFonts w:ascii="Times New Roman" w:hAnsi="Times New Roman" w:cs="Times New Roman"/>
          <w:bCs/>
        </w:rPr>
        <w:t xml:space="preserve">, 2024) Knowles stated that </w:t>
      </w:r>
      <w:r w:rsidR="00440560">
        <w:rPr>
          <w:rFonts w:ascii="Times New Roman" w:hAnsi="Times New Roman" w:cs="Times New Roman"/>
          <w:bCs/>
          <w:i/>
          <w:iCs/>
        </w:rPr>
        <w:t xml:space="preserve">andragogy </w:t>
      </w:r>
      <w:r w:rsidR="00440560">
        <w:rPr>
          <w:rFonts w:ascii="Times New Roman" w:hAnsi="Times New Roman" w:cs="Times New Roman"/>
          <w:bCs/>
        </w:rPr>
        <w:t>was that adults learned better in a climate of physical comfort, mutual trust, respect, openness, and acceptance of differences. The teacher would respond to the learner’s needs by providing the appropriate resources to facilitate learning and to help the students achieve learning through self-direction instead of telling the learner what to do. (McEwen &amp; Willis, 2023) Upon his vision of the adult learning theory, he had six assumptions with his theory that can also be applied in the nursing industry</w:t>
      </w:r>
      <w:r w:rsidR="00FD5CBC">
        <w:rPr>
          <w:rFonts w:ascii="Times New Roman" w:hAnsi="Times New Roman" w:cs="Times New Roman"/>
          <w:bCs/>
        </w:rPr>
        <w:t xml:space="preserve"> and education</w:t>
      </w:r>
      <w:r w:rsidR="00064EE4">
        <w:rPr>
          <w:rFonts w:ascii="Times New Roman" w:hAnsi="Times New Roman" w:cs="Times New Roman"/>
          <w:bCs/>
        </w:rPr>
        <w:t xml:space="preserve">; more specifically, it serves as a foundation for my track as a nurse educator. </w:t>
      </w:r>
    </w:p>
    <w:p w14:paraId="171816D0" w14:textId="402135C8" w:rsidR="00FD5CBC" w:rsidRDefault="00FD5CBC" w:rsidP="00084538">
      <w:pPr>
        <w:spacing w:line="480" w:lineRule="auto"/>
        <w:contextualSpacing/>
        <w:rPr>
          <w:rFonts w:ascii="Times New Roman" w:hAnsi="Times New Roman" w:cs="Times New Roman"/>
          <w:bCs/>
        </w:rPr>
      </w:pPr>
      <w:r>
        <w:rPr>
          <w:rFonts w:ascii="Times New Roman" w:hAnsi="Times New Roman" w:cs="Times New Roman"/>
          <w:bCs/>
        </w:rPr>
        <w:tab/>
        <w:t xml:space="preserve">The first assumption is the “need to know” assumption; this states that adults need to know why they need to learn something. The teacher can help learners understand how knowledge is important to the future of the quality of their lives. </w:t>
      </w:r>
      <w:r w:rsidR="00E11480">
        <w:rPr>
          <w:rFonts w:ascii="Times New Roman" w:hAnsi="Times New Roman" w:cs="Times New Roman"/>
          <w:bCs/>
        </w:rPr>
        <w:t xml:space="preserve">(McEwen &amp; Willis, 2023) </w:t>
      </w:r>
      <w:r>
        <w:rPr>
          <w:rFonts w:ascii="Times New Roman" w:hAnsi="Times New Roman" w:cs="Times New Roman"/>
          <w:bCs/>
        </w:rPr>
        <w:t>An example is how a skills teacher would teach something as trivial as pushing “air” units needed into an insulin vial to draw back the desired units. It’s the teacher’s job to state that it prevents air bubbles from getting into your syringe for optimal delivery of units. The second assumption is the “self-concept” assumption</w:t>
      </w:r>
      <w:r w:rsidR="00FB736E">
        <w:rPr>
          <w:rFonts w:ascii="Times New Roman" w:hAnsi="Times New Roman" w:cs="Times New Roman"/>
          <w:bCs/>
        </w:rPr>
        <w:t>,</w:t>
      </w:r>
      <w:r>
        <w:rPr>
          <w:rFonts w:ascii="Times New Roman" w:hAnsi="Times New Roman" w:cs="Times New Roman"/>
          <w:bCs/>
        </w:rPr>
        <w:t xml:space="preserve"> which states that as people mature, </w:t>
      </w:r>
      <w:r w:rsidR="00FB736E">
        <w:rPr>
          <w:rFonts w:ascii="Times New Roman" w:hAnsi="Times New Roman" w:cs="Times New Roman"/>
          <w:bCs/>
        </w:rPr>
        <w:t>their self-concept moves from being dependent to being self-directed. Adult learners want to be seen as more capable of self-</w:t>
      </w:r>
      <w:r w:rsidR="00FB736E">
        <w:rPr>
          <w:rFonts w:ascii="Times New Roman" w:hAnsi="Times New Roman" w:cs="Times New Roman"/>
          <w:bCs/>
        </w:rPr>
        <w:lastRenderedPageBreak/>
        <w:t>direction rather than having someone’s will imposed on them; the teacher needs to encourage independence.</w:t>
      </w:r>
      <w:r w:rsidR="00E11480">
        <w:rPr>
          <w:rFonts w:ascii="Times New Roman" w:hAnsi="Times New Roman" w:cs="Times New Roman"/>
          <w:bCs/>
        </w:rPr>
        <w:t xml:space="preserve"> </w:t>
      </w:r>
      <w:r w:rsidR="00E11480">
        <w:rPr>
          <w:rFonts w:ascii="Times New Roman" w:hAnsi="Times New Roman" w:cs="Times New Roman"/>
          <w:bCs/>
        </w:rPr>
        <w:t xml:space="preserve">(McEwen &amp; Willis, 2023) </w:t>
      </w:r>
      <w:r w:rsidR="00FB736E">
        <w:rPr>
          <w:rFonts w:ascii="Times New Roman" w:hAnsi="Times New Roman" w:cs="Times New Roman"/>
          <w:bCs/>
        </w:rPr>
        <w:t xml:space="preserve">An example is the concept of preceptorship. Typically, for most nursing school curriculums, the senior-level nursing student should function independently to a certain standard by the end of the preceptorship. From the beginning of their clinical to their preceptorship, independence is encouraged as the teacher helps provide the resources necessary to function as the nursing student expects to do more tasks independently. </w:t>
      </w:r>
    </w:p>
    <w:p w14:paraId="2B0214C6" w14:textId="3CD74EC7" w:rsidR="00CA22B7" w:rsidRDefault="00CA22B7" w:rsidP="00084538">
      <w:pPr>
        <w:spacing w:line="480" w:lineRule="auto"/>
        <w:contextualSpacing/>
        <w:rPr>
          <w:rFonts w:ascii="Times New Roman" w:hAnsi="Times New Roman" w:cs="Times New Roman"/>
          <w:bCs/>
        </w:rPr>
      </w:pPr>
      <w:r>
        <w:rPr>
          <w:rFonts w:ascii="Times New Roman" w:hAnsi="Times New Roman" w:cs="Times New Roman"/>
          <w:bCs/>
        </w:rPr>
        <w:tab/>
        <w:t xml:space="preserve">The third assumption is the “experience” assumption. This states that as people mature, they accumulate a large amount of experience that can serve as a rich resource for learning. Adults learn better with their own experiences that can incorporate with their learning process and self-identity. </w:t>
      </w:r>
      <w:r w:rsidR="00E11480">
        <w:rPr>
          <w:rFonts w:ascii="Times New Roman" w:hAnsi="Times New Roman" w:cs="Times New Roman"/>
          <w:bCs/>
        </w:rPr>
        <w:t xml:space="preserve">(McEwen &amp; Willis, 2023) </w:t>
      </w:r>
      <w:r>
        <w:rPr>
          <w:rFonts w:ascii="Times New Roman" w:hAnsi="Times New Roman" w:cs="Times New Roman"/>
          <w:bCs/>
        </w:rPr>
        <w:t xml:space="preserve">An example is how we can assume every nursing student had a reason or experience that got them through their pre-requisites and into impacted nursing programs. Examples of these experiences can include how one student cared for their grandparents growing up, and another student was motivated by seeing nurses care for a dying family member; while their journey on their inspiration to learn how to provide quality care </w:t>
      </w:r>
      <w:r w:rsidR="00E11480">
        <w:rPr>
          <w:rFonts w:ascii="Times New Roman" w:hAnsi="Times New Roman" w:cs="Times New Roman"/>
          <w:bCs/>
        </w:rPr>
        <w:t xml:space="preserve">as </w:t>
      </w:r>
      <w:r>
        <w:rPr>
          <w:rFonts w:ascii="Times New Roman" w:hAnsi="Times New Roman" w:cs="Times New Roman"/>
          <w:bCs/>
        </w:rPr>
        <w:t>a nurse is different</w:t>
      </w:r>
      <w:r w:rsidR="00E11480">
        <w:rPr>
          <w:rFonts w:ascii="Times New Roman" w:hAnsi="Times New Roman" w:cs="Times New Roman"/>
          <w:bCs/>
        </w:rPr>
        <w:t xml:space="preserve">, the end objective is the same in relating to providing quality care. The different journeys of each nursing student make them unique and set their creative art of caring and self-identity. </w:t>
      </w:r>
    </w:p>
    <w:p w14:paraId="69924554" w14:textId="0E9ED786" w:rsidR="00B579EF" w:rsidRDefault="00B579EF" w:rsidP="00084538">
      <w:pPr>
        <w:spacing w:line="480" w:lineRule="auto"/>
        <w:contextualSpacing/>
        <w:rPr>
          <w:rFonts w:ascii="Times New Roman" w:hAnsi="Times New Roman" w:cs="Times New Roman"/>
          <w:bCs/>
        </w:rPr>
      </w:pPr>
      <w:r>
        <w:rPr>
          <w:rFonts w:ascii="Times New Roman" w:hAnsi="Times New Roman" w:cs="Times New Roman"/>
          <w:bCs/>
        </w:rPr>
        <w:tab/>
        <w:t xml:space="preserve">The fourth assumption is the “readiness to learn” assumption. This states that real-life problems or situations create a </w:t>
      </w:r>
      <w:r w:rsidR="00272754">
        <w:rPr>
          <w:rFonts w:ascii="Times New Roman" w:hAnsi="Times New Roman" w:cs="Times New Roman"/>
          <w:bCs/>
        </w:rPr>
        <w:t xml:space="preserve">readiness to learn in the adult. As a person matures, readiness to learn becomes more </w:t>
      </w:r>
      <w:r w:rsidR="00064EE4">
        <w:rPr>
          <w:rFonts w:ascii="Times New Roman" w:hAnsi="Times New Roman" w:cs="Times New Roman"/>
          <w:bCs/>
        </w:rPr>
        <w:t>oriented</w:t>
      </w:r>
      <w:r w:rsidR="00272754">
        <w:rPr>
          <w:rFonts w:ascii="Times New Roman" w:hAnsi="Times New Roman" w:cs="Times New Roman"/>
          <w:bCs/>
        </w:rPr>
        <w:t xml:space="preserve"> in the developmental tasks of social roles. </w:t>
      </w:r>
      <w:r w:rsidR="00272754">
        <w:rPr>
          <w:rFonts w:ascii="Times New Roman" w:hAnsi="Times New Roman" w:cs="Times New Roman"/>
          <w:bCs/>
        </w:rPr>
        <w:t>(McEwen &amp; Willis, 2023)</w:t>
      </w:r>
      <w:r w:rsidR="00272754">
        <w:rPr>
          <w:rFonts w:ascii="Times New Roman" w:hAnsi="Times New Roman" w:cs="Times New Roman"/>
          <w:bCs/>
        </w:rPr>
        <w:t xml:space="preserve"> An example of this is when nursing students start their clinical, their first exposure to the situations they will eventually be exposed to when they’re independent nurses will motivate them more to function in a way that a new graduate registered nurse does. The exposures in the </w:t>
      </w:r>
      <w:r w:rsidR="00272754">
        <w:rPr>
          <w:rFonts w:ascii="Times New Roman" w:hAnsi="Times New Roman" w:cs="Times New Roman"/>
          <w:bCs/>
        </w:rPr>
        <w:lastRenderedPageBreak/>
        <w:t xml:space="preserve">clinical help set their expectations. The fifth assumption is the “orientation to learning” assumption. This states that as a person matures, their perspective of time changes from postponed knowledge application to immediate application. More specifically, their orientation of self-learning shifts from one subject-centeredness to one of problem-centeredness. </w:t>
      </w:r>
      <w:r w:rsidR="00272754">
        <w:rPr>
          <w:rFonts w:ascii="Times New Roman" w:hAnsi="Times New Roman" w:cs="Times New Roman"/>
          <w:bCs/>
        </w:rPr>
        <w:t xml:space="preserve">(McEwen &amp; Willis, 2023) </w:t>
      </w:r>
      <w:r w:rsidR="00272754">
        <w:rPr>
          <w:rFonts w:ascii="Times New Roman" w:hAnsi="Times New Roman" w:cs="Times New Roman"/>
          <w:bCs/>
        </w:rPr>
        <w:t>In layman’s terms, nursing students begin to ask more detailed questions rather than over-generalized. An example is when a nursing student would first ask why we give beta blockers for tachycardia and eventually ask more specific questions, including what we do when too many beta blockers are given for tachycardia.</w:t>
      </w:r>
      <w:r w:rsidR="009B3EFD">
        <w:rPr>
          <w:rFonts w:ascii="Times New Roman" w:hAnsi="Times New Roman" w:cs="Times New Roman"/>
          <w:bCs/>
        </w:rPr>
        <w:t xml:space="preserve"> </w:t>
      </w:r>
    </w:p>
    <w:p w14:paraId="6B776818" w14:textId="1CAAE043" w:rsidR="009B3EFD" w:rsidRDefault="009B3EFD" w:rsidP="00084538">
      <w:pPr>
        <w:spacing w:line="480" w:lineRule="auto"/>
        <w:contextualSpacing/>
        <w:rPr>
          <w:rFonts w:ascii="Times New Roman" w:hAnsi="Times New Roman" w:cs="Times New Roman"/>
          <w:bCs/>
        </w:rPr>
      </w:pPr>
      <w:r>
        <w:rPr>
          <w:rFonts w:ascii="Times New Roman" w:hAnsi="Times New Roman" w:cs="Times New Roman"/>
          <w:bCs/>
        </w:rPr>
        <w:tab/>
        <w:t xml:space="preserve">The sixth and last assumption is the “motivation” assumption. This states that adults are primarily motivated by a desire to solve immediate and practical problems; the motivation comes by becoming more stimulated by internal stimuli rather than external ones. </w:t>
      </w:r>
      <w:r>
        <w:rPr>
          <w:rFonts w:ascii="Times New Roman" w:hAnsi="Times New Roman" w:cs="Times New Roman"/>
          <w:bCs/>
        </w:rPr>
        <w:t>(McEwen &amp; Willis, 2023)</w:t>
      </w:r>
      <w:r>
        <w:rPr>
          <w:rFonts w:ascii="Times New Roman" w:hAnsi="Times New Roman" w:cs="Times New Roman"/>
          <w:bCs/>
        </w:rPr>
        <w:t xml:space="preserve"> </w:t>
      </w:r>
      <w:r w:rsidR="00D411CD">
        <w:rPr>
          <w:rFonts w:ascii="Times New Roman" w:hAnsi="Times New Roman" w:cs="Times New Roman"/>
          <w:bCs/>
        </w:rPr>
        <w:t xml:space="preserve">An example is </w:t>
      </w:r>
      <w:r w:rsidR="00D75010">
        <w:rPr>
          <w:rFonts w:ascii="Times New Roman" w:hAnsi="Times New Roman" w:cs="Times New Roman"/>
          <w:bCs/>
        </w:rPr>
        <w:t>when new graduate nurses usually</w:t>
      </w:r>
      <w:r w:rsidR="00D411CD">
        <w:rPr>
          <w:rFonts w:ascii="Times New Roman" w:hAnsi="Times New Roman" w:cs="Times New Roman"/>
          <w:bCs/>
        </w:rPr>
        <w:t xml:space="preserve"> start job hunting</w:t>
      </w:r>
      <w:r w:rsidR="00D75010">
        <w:rPr>
          <w:rFonts w:ascii="Times New Roman" w:hAnsi="Times New Roman" w:cs="Times New Roman"/>
          <w:bCs/>
        </w:rPr>
        <w:t>. T</w:t>
      </w:r>
      <w:r w:rsidR="00D411CD">
        <w:rPr>
          <w:rFonts w:ascii="Times New Roman" w:hAnsi="Times New Roman" w:cs="Times New Roman"/>
          <w:bCs/>
        </w:rPr>
        <w:t xml:space="preserve">hey tend to find the job with the highest salary, which serves as their external motivation; eventually, as the nurse </w:t>
      </w:r>
      <w:r w:rsidR="00D75010">
        <w:rPr>
          <w:rFonts w:ascii="Times New Roman" w:hAnsi="Times New Roman" w:cs="Times New Roman"/>
          <w:bCs/>
        </w:rPr>
        <w:t>gains more experience in working, they become more internally motivated in the aspect of job satisfaction; this can be applied in situation</w:t>
      </w:r>
      <w:r w:rsidR="007B2B5D">
        <w:rPr>
          <w:rFonts w:ascii="Times New Roman" w:hAnsi="Times New Roman" w:cs="Times New Roman"/>
          <w:bCs/>
        </w:rPr>
        <w:t>s</w:t>
      </w:r>
      <w:r w:rsidR="00D75010">
        <w:rPr>
          <w:rFonts w:ascii="Times New Roman" w:hAnsi="Times New Roman" w:cs="Times New Roman"/>
          <w:bCs/>
        </w:rPr>
        <w:t xml:space="preserve"> where a nurse quits his/her job to be a full-time CRNA student or if a nurse leaves the ICU unit to go into either the Cath lab or PACU for better job satisfaction. </w:t>
      </w:r>
    </w:p>
    <w:p w14:paraId="60E92E1C" w14:textId="7A7FF67C" w:rsidR="007B2B5D" w:rsidRDefault="007B2B5D" w:rsidP="00084538">
      <w:pPr>
        <w:spacing w:line="480" w:lineRule="auto"/>
        <w:contextualSpacing/>
        <w:rPr>
          <w:rFonts w:ascii="Times New Roman" w:hAnsi="Times New Roman" w:cs="Times New Roman"/>
          <w:bCs/>
        </w:rPr>
      </w:pPr>
      <w:r>
        <w:rPr>
          <w:rFonts w:ascii="Times New Roman" w:hAnsi="Times New Roman" w:cs="Times New Roman"/>
          <w:bCs/>
        </w:rPr>
        <w:tab/>
      </w:r>
      <w:r w:rsidR="00064EE4">
        <w:rPr>
          <w:rFonts w:ascii="Times New Roman" w:hAnsi="Times New Roman" w:cs="Times New Roman"/>
          <w:bCs/>
          <w:i/>
          <w:iCs/>
        </w:rPr>
        <w:t>Andragogy</w:t>
      </w:r>
      <w:r w:rsidR="00064EE4">
        <w:rPr>
          <w:rFonts w:ascii="Times New Roman" w:hAnsi="Times New Roman" w:cs="Times New Roman"/>
          <w:bCs/>
        </w:rPr>
        <w:t xml:space="preserve"> in the nursing industry is significant in practice </w:t>
      </w:r>
      <w:r w:rsidR="0059774D">
        <w:rPr>
          <w:rFonts w:ascii="Times New Roman" w:hAnsi="Times New Roman" w:cs="Times New Roman"/>
          <w:bCs/>
        </w:rPr>
        <w:t>regarding patient education and</w:t>
      </w:r>
      <w:r w:rsidR="00064EE4">
        <w:rPr>
          <w:rFonts w:ascii="Times New Roman" w:hAnsi="Times New Roman" w:cs="Times New Roman"/>
          <w:bCs/>
        </w:rPr>
        <w:t xml:space="preserve"> nursing school</w:t>
      </w:r>
      <w:r w:rsidR="0059774D">
        <w:rPr>
          <w:rFonts w:ascii="Times New Roman" w:hAnsi="Times New Roman" w:cs="Times New Roman"/>
          <w:bCs/>
        </w:rPr>
        <w:t xml:space="preserve"> curriculums. In nursing practice, nurses are expected to be patient educators, which can help contribute their functions to the interprofessional discharge planning process. Currently, the biggest problem with patient education is that adult teachers need to incorporate the principles of the adult learning theory. An example of this problem was shown during a study on how cardiovascular doctors and nurses didn’t assess the patients properly following their </w:t>
      </w:r>
      <w:r w:rsidR="0059774D">
        <w:rPr>
          <w:rFonts w:ascii="Times New Roman" w:hAnsi="Times New Roman" w:cs="Times New Roman"/>
          <w:bCs/>
        </w:rPr>
        <w:lastRenderedPageBreak/>
        <w:t>readiness to learn. The patients were showing signs of anxiety and pain while doctors and nurses were trying to provide education; this resulted in decreased patient satisfaction and readiness to learn. (</w:t>
      </w:r>
      <w:proofErr w:type="spellStart"/>
      <w:r w:rsidR="0059774D">
        <w:rPr>
          <w:rFonts w:ascii="Times New Roman" w:hAnsi="Times New Roman" w:cs="Times New Roman"/>
          <w:bCs/>
        </w:rPr>
        <w:t>Niksadat</w:t>
      </w:r>
      <w:proofErr w:type="spellEnd"/>
      <w:r w:rsidR="0059774D">
        <w:rPr>
          <w:rFonts w:ascii="Times New Roman" w:hAnsi="Times New Roman" w:cs="Times New Roman"/>
          <w:bCs/>
        </w:rPr>
        <w:t xml:space="preserve"> et al., 2022) According to Knowles’s definition of </w:t>
      </w:r>
      <w:r w:rsidR="0059774D">
        <w:rPr>
          <w:rFonts w:ascii="Times New Roman" w:hAnsi="Times New Roman" w:cs="Times New Roman"/>
          <w:bCs/>
          <w:i/>
          <w:iCs/>
        </w:rPr>
        <w:t>andrology</w:t>
      </w:r>
      <w:r w:rsidR="0059774D">
        <w:rPr>
          <w:rFonts w:ascii="Times New Roman" w:hAnsi="Times New Roman" w:cs="Times New Roman"/>
          <w:bCs/>
        </w:rPr>
        <w:t xml:space="preserve">, adults need a climate of physical comfort before education can be considered. Unfortunately, the climate wasn’t created nor assessed. The adult learning theory considers the need for more holistic care in evaluating the patient’s level of the six assumptions. Patient education will improve by addressing these assumptions based on the questionnaires asked of these cardiovascular patients. Not only will care quality and patient outcomes improve with </w:t>
      </w:r>
      <w:r w:rsidR="0059774D">
        <w:rPr>
          <w:rFonts w:ascii="Times New Roman" w:hAnsi="Times New Roman" w:cs="Times New Roman"/>
          <w:bCs/>
          <w:i/>
          <w:iCs/>
        </w:rPr>
        <w:t>andrology</w:t>
      </w:r>
      <w:r w:rsidR="0059774D">
        <w:rPr>
          <w:rFonts w:ascii="Times New Roman" w:hAnsi="Times New Roman" w:cs="Times New Roman"/>
          <w:bCs/>
        </w:rPr>
        <w:t xml:space="preserve">, healthcare providers will also be empowered, and satisfaction will extend from the patient to the family or associated party. </w:t>
      </w:r>
      <w:r w:rsidR="0059774D">
        <w:rPr>
          <w:rFonts w:ascii="Times New Roman" w:hAnsi="Times New Roman" w:cs="Times New Roman"/>
          <w:bCs/>
        </w:rPr>
        <w:t>(</w:t>
      </w:r>
      <w:proofErr w:type="spellStart"/>
      <w:r w:rsidR="0059774D">
        <w:rPr>
          <w:rFonts w:ascii="Times New Roman" w:hAnsi="Times New Roman" w:cs="Times New Roman"/>
          <w:bCs/>
        </w:rPr>
        <w:t>Niksadat</w:t>
      </w:r>
      <w:proofErr w:type="spellEnd"/>
      <w:r w:rsidR="0059774D">
        <w:rPr>
          <w:rFonts w:ascii="Times New Roman" w:hAnsi="Times New Roman" w:cs="Times New Roman"/>
          <w:bCs/>
        </w:rPr>
        <w:t xml:space="preserve"> et al., 2022)</w:t>
      </w:r>
    </w:p>
    <w:p w14:paraId="3CB0AC86" w14:textId="172F85B2" w:rsidR="002754CB" w:rsidRDefault="002754CB" w:rsidP="00084538">
      <w:pPr>
        <w:spacing w:line="480" w:lineRule="auto"/>
        <w:contextualSpacing/>
        <w:rPr>
          <w:rFonts w:ascii="Times New Roman" w:hAnsi="Times New Roman" w:cs="Times New Roman"/>
          <w:bCs/>
        </w:rPr>
      </w:pPr>
      <w:r>
        <w:rPr>
          <w:rFonts w:ascii="Times New Roman" w:hAnsi="Times New Roman" w:cs="Times New Roman"/>
          <w:bCs/>
        </w:rPr>
        <w:tab/>
        <w:t xml:space="preserve">Transitioning from the </w:t>
      </w:r>
      <w:r w:rsidR="00341071">
        <w:rPr>
          <w:rFonts w:ascii="Times New Roman" w:hAnsi="Times New Roman" w:cs="Times New Roman"/>
          <w:bCs/>
        </w:rPr>
        <w:t xml:space="preserve">bedside patient education aspect in nursing practice to the nursing school curriculum, </w:t>
      </w:r>
      <w:r w:rsidR="00341071">
        <w:rPr>
          <w:rFonts w:ascii="Times New Roman" w:hAnsi="Times New Roman" w:cs="Times New Roman"/>
          <w:bCs/>
          <w:i/>
          <w:iCs/>
        </w:rPr>
        <w:t>andrology</w:t>
      </w:r>
      <w:r w:rsidR="00341071">
        <w:rPr>
          <w:rFonts w:ascii="Times New Roman" w:hAnsi="Times New Roman" w:cs="Times New Roman"/>
          <w:bCs/>
        </w:rPr>
        <w:t xml:space="preserve"> is applied in different aspects of nursing education, including active learning and simulation labs. Research has shown that passive learning, including class lectures, isn’t effective in developing critical thinking skills for the nursing student. Active learning encourages the nursing student to show engagement in interactive activities; this can increase morale, positive attitudes, and self-confidence. We can correlate active learning with </w:t>
      </w:r>
      <w:r w:rsidR="00341071">
        <w:rPr>
          <w:rFonts w:ascii="Times New Roman" w:hAnsi="Times New Roman" w:cs="Times New Roman"/>
          <w:bCs/>
          <w:i/>
          <w:iCs/>
        </w:rPr>
        <w:t xml:space="preserve">andrology </w:t>
      </w:r>
      <w:r w:rsidR="00341071">
        <w:rPr>
          <w:rFonts w:ascii="Times New Roman" w:hAnsi="Times New Roman" w:cs="Times New Roman"/>
          <w:bCs/>
        </w:rPr>
        <w:t xml:space="preserve">with the “readiness to learn” assumption because the interactive activities correspond more with the social roles expected as nurses since they’re actually learning clinical skills. </w:t>
      </w:r>
      <w:r w:rsidR="00C8297F">
        <w:rPr>
          <w:rFonts w:ascii="Times New Roman" w:hAnsi="Times New Roman" w:cs="Times New Roman"/>
          <w:bCs/>
        </w:rPr>
        <w:t>We can go into depth with these interactive activities, using the example of simulation labs. It creates a safe environment since the setting is well-controlled, and the teacher provides proper feedback to help guide the nursing students to where their self-driven learning should go. Along with the “readiness to learn” assumption, the debriefing aspects of the simulation lab dive into “need to know,” “experience,” and “orientation to learning” assumptions. (Lewis &amp; Bryan, 2021)</w:t>
      </w:r>
    </w:p>
    <w:p w14:paraId="5493AA16" w14:textId="0066AD15" w:rsidR="00C8297F" w:rsidRDefault="00C8297F" w:rsidP="00084538">
      <w:pPr>
        <w:spacing w:line="480" w:lineRule="auto"/>
        <w:contextualSpacing/>
        <w:rPr>
          <w:rFonts w:ascii="Times New Roman" w:hAnsi="Times New Roman" w:cs="Times New Roman"/>
          <w:bCs/>
        </w:rPr>
      </w:pPr>
      <w:r>
        <w:rPr>
          <w:rFonts w:ascii="Times New Roman" w:hAnsi="Times New Roman" w:cs="Times New Roman"/>
          <w:bCs/>
        </w:rPr>
        <w:lastRenderedPageBreak/>
        <w:tab/>
        <w:t xml:space="preserve">The debriefing aspect in the simulation lab is important regarding the adult learning theory because the “need to know” assumption is emphasized in the situation where you can see something trivial in the simulation can be turned into great importance when debriefing occurs. With each simulation you do, you gain experience in a safe way for yourself and the patients; this stimulates the “experience” aspect that Knowles described. Lastly, “orientation to learning” is stimulated because, like preceptorship, each simulation lab you do that goes toward the end of your nursing school motivates the learner to ask more questions as the time comes for them to function as independent new graduate nurses. </w:t>
      </w:r>
      <w:r>
        <w:rPr>
          <w:rFonts w:ascii="Times New Roman" w:hAnsi="Times New Roman" w:cs="Times New Roman"/>
          <w:bCs/>
        </w:rPr>
        <w:t>(Lewis &amp; Bryan, 2021)</w:t>
      </w:r>
      <w:r>
        <w:rPr>
          <w:rFonts w:ascii="Times New Roman" w:hAnsi="Times New Roman" w:cs="Times New Roman"/>
          <w:bCs/>
        </w:rPr>
        <w:t xml:space="preserve"> </w:t>
      </w:r>
    </w:p>
    <w:p w14:paraId="7B204A53" w14:textId="3D7A9DF0" w:rsidR="00C8297F" w:rsidRPr="00C8297F" w:rsidRDefault="00C8297F" w:rsidP="00084538">
      <w:pPr>
        <w:spacing w:line="480" w:lineRule="auto"/>
        <w:contextualSpacing/>
        <w:rPr>
          <w:rFonts w:ascii="Times New Roman" w:hAnsi="Times New Roman" w:cs="Times New Roman"/>
          <w:bCs/>
        </w:rPr>
      </w:pPr>
      <w:r>
        <w:rPr>
          <w:rFonts w:ascii="Times New Roman" w:hAnsi="Times New Roman" w:cs="Times New Roman"/>
          <w:bCs/>
        </w:rPr>
        <w:tab/>
        <w:t xml:space="preserve">In conclusion, we can see </w:t>
      </w:r>
      <w:r>
        <w:rPr>
          <w:rFonts w:ascii="Times New Roman" w:hAnsi="Times New Roman" w:cs="Times New Roman"/>
          <w:bCs/>
          <w:i/>
          <w:iCs/>
        </w:rPr>
        <w:t>andrology</w:t>
      </w:r>
      <w:r>
        <w:rPr>
          <w:rFonts w:ascii="Times New Roman" w:hAnsi="Times New Roman" w:cs="Times New Roman"/>
          <w:bCs/>
        </w:rPr>
        <w:t xml:space="preserve"> as the future of nursing practice and education regarding bedside skills and nursing school curriculum with the role of the registered nurse as an educator. </w:t>
      </w:r>
      <w:r w:rsidR="00855FEC">
        <w:rPr>
          <w:rFonts w:ascii="Times New Roman" w:hAnsi="Times New Roman" w:cs="Times New Roman"/>
          <w:bCs/>
        </w:rPr>
        <w:t xml:space="preserve">Knowles’s six adult learning assumptions can be applied in nursing practice and nursing school curriculums. The impact of the adult learning theory is that it will increase patient satisfaction, the effectiveness of patient education, quality patient care, good patient outcomes, and empowerment of health care providers. </w:t>
      </w:r>
      <w:r w:rsidR="00855FEC">
        <w:rPr>
          <w:rFonts w:ascii="Times New Roman" w:hAnsi="Times New Roman" w:cs="Times New Roman"/>
          <w:bCs/>
        </w:rPr>
        <w:t>(</w:t>
      </w:r>
      <w:proofErr w:type="spellStart"/>
      <w:r w:rsidR="00855FEC">
        <w:rPr>
          <w:rFonts w:ascii="Times New Roman" w:hAnsi="Times New Roman" w:cs="Times New Roman"/>
          <w:bCs/>
        </w:rPr>
        <w:t>Niksadat</w:t>
      </w:r>
      <w:proofErr w:type="spellEnd"/>
      <w:r w:rsidR="00855FEC">
        <w:rPr>
          <w:rFonts w:ascii="Times New Roman" w:hAnsi="Times New Roman" w:cs="Times New Roman"/>
          <w:bCs/>
        </w:rPr>
        <w:t xml:space="preserve"> et al., 2022)</w:t>
      </w:r>
      <w:r w:rsidR="00855FEC">
        <w:rPr>
          <w:rFonts w:ascii="Times New Roman" w:hAnsi="Times New Roman" w:cs="Times New Roman"/>
          <w:bCs/>
        </w:rPr>
        <w:t xml:space="preserve"> This impact will be effective with the aspect of holistic care regarding the six assumptions. Nursing school curricula can provide effective education using active learning and simulation labs following the adult learning theory. </w:t>
      </w:r>
      <w:r w:rsidR="00855FEC">
        <w:rPr>
          <w:rFonts w:ascii="Times New Roman" w:hAnsi="Times New Roman" w:cs="Times New Roman"/>
          <w:bCs/>
        </w:rPr>
        <w:t>(Lewis &amp; Bryan, 2021)</w:t>
      </w:r>
    </w:p>
    <w:p w14:paraId="6D23C84A" w14:textId="77777777" w:rsidR="00D57058" w:rsidRDefault="00D57058" w:rsidP="00025A7A">
      <w:pPr>
        <w:spacing w:line="480" w:lineRule="auto"/>
        <w:contextualSpacing/>
        <w:jc w:val="center"/>
        <w:rPr>
          <w:rFonts w:ascii="Times New Roman" w:hAnsi="Times New Roman" w:cs="Times New Roman"/>
          <w:b/>
        </w:rPr>
      </w:pPr>
    </w:p>
    <w:p w14:paraId="56B0468E" w14:textId="77777777" w:rsidR="00D57058" w:rsidRDefault="00D57058" w:rsidP="00025A7A">
      <w:pPr>
        <w:spacing w:line="480" w:lineRule="auto"/>
        <w:contextualSpacing/>
        <w:jc w:val="center"/>
        <w:rPr>
          <w:rFonts w:ascii="Times New Roman" w:hAnsi="Times New Roman" w:cs="Times New Roman"/>
          <w:b/>
        </w:rPr>
      </w:pPr>
    </w:p>
    <w:p w14:paraId="78275B9E" w14:textId="77777777" w:rsidR="00D57058" w:rsidRDefault="00D57058" w:rsidP="00025A7A">
      <w:pPr>
        <w:spacing w:line="480" w:lineRule="auto"/>
        <w:contextualSpacing/>
        <w:jc w:val="center"/>
        <w:rPr>
          <w:rFonts w:ascii="Times New Roman" w:hAnsi="Times New Roman" w:cs="Times New Roman"/>
          <w:b/>
        </w:rPr>
      </w:pPr>
    </w:p>
    <w:p w14:paraId="308570C9" w14:textId="77777777" w:rsidR="00D57058" w:rsidRDefault="00D57058" w:rsidP="00025A7A">
      <w:pPr>
        <w:spacing w:line="480" w:lineRule="auto"/>
        <w:contextualSpacing/>
        <w:jc w:val="center"/>
        <w:rPr>
          <w:rFonts w:ascii="Times New Roman" w:hAnsi="Times New Roman" w:cs="Times New Roman"/>
          <w:b/>
        </w:rPr>
      </w:pPr>
    </w:p>
    <w:p w14:paraId="7E9065B8" w14:textId="77777777" w:rsidR="00D57058" w:rsidRDefault="00D57058" w:rsidP="00855FEC">
      <w:pPr>
        <w:spacing w:line="480" w:lineRule="auto"/>
        <w:contextualSpacing/>
        <w:rPr>
          <w:rFonts w:ascii="Times New Roman" w:hAnsi="Times New Roman" w:cs="Times New Roman"/>
          <w:b/>
        </w:rPr>
      </w:pPr>
    </w:p>
    <w:p w14:paraId="3EC88602" w14:textId="77777777" w:rsidR="00855FEC" w:rsidRDefault="00855FEC" w:rsidP="00855FEC">
      <w:pPr>
        <w:spacing w:line="480" w:lineRule="auto"/>
        <w:contextualSpacing/>
        <w:rPr>
          <w:rFonts w:ascii="Times New Roman" w:hAnsi="Times New Roman" w:cs="Times New Roman"/>
          <w:b/>
        </w:rPr>
      </w:pPr>
    </w:p>
    <w:p w14:paraId="29911384" w14:textId="66E872FE" w:rsidR="00025A7A" w:rsidRDefault="00025A7A" w:rsidP="00025A7A">
      <w:pPr>
        <w:spacing w:line="480" w:lineRule="auto"/>
        <w:contextualSpacing/>
        <w:jc w:val="center"/>
        <w:rPr>
          <w:rFonts w:ascii="Times New Roman" w:hAnsi="Times New Roman" w:cs="Times New Roman"/>
          <w:b/>
        </w:rPr>
      </w:pPr>
      <w:r>
        <w:rPr>
          <w:rFonts w:ascii="Times New Roman" w:hAnsi="Times New Roman" w:cs="Times New Roman"/>
          <w:b/>
        </w:rPr>
        <w:lastRenderedPageBreak/>
        <w:t>References</w:t>
      </w:r>
    </w:p>
    <w:p w14:paraId="4C71B976" w14:textId="77777777" w:rsidR="00855FEC" w:rsidRDefault="00855FEC" w:rsidP="00855FEC">
      <w:pPr>
        <w:pStyle w:val="NormalWeb"/>
        <w:spacing w:line="480" w:lineRule="auto"/>
        <w:ind w:left="562" w:hanging="562"/>
      </w:pPr>
      <w:proofErr w:type="spellStart"/>
      <w:r>
        <w:t>Cloke</w:t>
      </w:r>
      <w:proofErr w:type="spellEnd"/>
      <w:r>
        <w:t xml:space="preserve">, H. (2024, February 22). </w:t>
      </w:r>
      <w:r>
        <w:rPr>
          <w:i/>
          <w:iCs/>
        </w:rPr>
        <w:t>What is Malcolm Knowles’ adult learning theory?</w:t>
      </w:r>
      <w:r>
        <w:t xml:space="preserve"> Growth Engineering. https://www.growthengineering.co.uk/adult-learning-theory/ </w:t>
      </w:r>
    </w:p>
    <w:p w14:paraId="3FD4D3D9" w14:textId="77777777" w:rsidR="00855FEC" w:rsidRDefault="00855FEC" w:rsidP="00855FEC">
      <w:pPr>
        <w:pStyle w:val="NormalWeb"/>
        <w:spacing w:line="480" w:lineRule="auto"/>
        <w:ind w:left="562" w:hanging="562"/>
      </w:pPr>
      <w:r>
        <w:t xml:space="preserve">Lewis, N., &amp; Bryan, V. (2021). Andragogy and teaching techniques to enhance adult learners’ experience. </w:t>
      </w:r>
      <w:r>
        <w:rPr>
          <w:i/>
          <w:iCs/>
        </w:rPr>
        <w:t>Journal of Nursing Education and Practice</w:t>
      </w:r>
      <w:r>
        <w:t xml:space="preserve">, </w:t>
      </w:r>
      <w:r>
        <w:rPr>
          <w:i/>
          <w:iCs/>
        </w:rPr>
        <w:t>11</w:t>
      </w:r>
      <w:r>
        <w:t xml:space="preserve">(11), 31. https://doi.org/10.5430/jnep.v11n11p31 </w:t>
      </w:r>
    </w:p>
    <w:p w14:paraId="1DAB0E63" w14:textId="77777777" w:rsidR="00855FEC" w:rsidRDefault="00855FEC" w:rsidP="00855FEC">
      <w:pPr>
        <w:pStyle w:val="NormalWeb"/>
        <w:spacing w:line="480" w:lineRule="auto"/>
        <w:ind w:left="562" w:hanging="562"/>
      </w:pPr>
      <w:r>
        <w:t xml:space="preserve">McEwen, M., &amp; Wills, E. M. (2023). </w:t>
      </w:r>
      <w:r>
        <w:rPr>
          <w:i/>
          <w:iCs/>
        </w:rPr>
        <w:t>Theoretical basis for nursing</w:t>
      </w:r>
      <w:r>
        <w:t xml:space="preserve">. Wolters Kluwer. </w:t>
      </w:r>
    </w:p>
    <w:p w14:paraId="52D45AF4" w14:textId="77777777" w:rsidR="00855FEC" w:rsidRDefault="00855FEC" w:rsidP="00855FEC">
      <w:pPr>
        <w:pStyle w:val="NormalWeb"/>
        <w:spacing w:line="480" w:lineRule="auto"/>
        <w:ind w:left="562" w:hanging="562"/>
      </w:pPr>
      <w:proofErr w:type="spellStart"/>
      <w:r>
        <w:t>Niksadat</w:t>
      </w:r>
      <w:proofErr w:type="spellEnd"/>
      <w:r>
        <w:t xml:space="preserve">, N., </w:t>
      </w:r>
      <w:proofErr w:type="spellStart"/>
      <w:r>
        <w:t>Rakhshanderou</w:t>
      </w:r>
      <w:proofErr w:type="spellEnd"/>
      <w:r>
        <w:t xml:space="preserve">, S., </w:t>
      </w:r>
      <w:proofErr w:type="spellStart"/>
      <w:r>
        <w:t>Negarandeh</w:t>
      </w:r>
      <w:proofErr w:type="spellEnd"/>
      <w:r>
        <w:t xml:space="preserve">, R., </w:t>
      </w:r>
      <w:proofErr w:type="spellStart"/>
      <w:r>
        <w:t>Ramezankhani</w:t>
      </w:r>
      <w:proofErr w:type="spellEnd"/>
      <w:r>
        <w:t xml:space="preserve">, A., Farahani, A. V., &amp; </w:t>
      </w:r>
      <w:proofErr w:type="spellStart"/>
      <w:r>
        <w:t>Ghaffari</w:t>
      </w:r>
      <w:proofErr w:type="spellEnd"/>
      <w:r>
        <w:t xml:space="preserve">, M. (2022). Concordance of the cardiovascular patient education with the principles of Andragogy Model. </w:t>
      </w:r>
      <w:r>
        <w:rPr>
          <w:i/>
          <w:iCs/>
        </w:rPr>
        <w:t>Archives of Public Health</w:t>
      </w:r>
      <w:r>
        <w:t xml:space="preserve">, </w:t>
      </w:r>
      <w:r>
        <w:rPr>
          <w:i/>
          <w:iCs/>
        </w:rPr>
        <w:t>80</w:t>
      </w:r>
      <w:r>
        <w:t xml:space="preserve">(1). https://doi.org/10.1186/s13690-021-00763-5 </w:t>
      </w:r>
    </w:p>
    <w:p w14:paraId="7C42FF11" w14:textId="77777777" w:rsidR="009F57A9" w:rsidRPr="00855FEC" w:rsidRDefault="009F57A9" w:rsidP="00855FEC">
      <w:pPr>
        <w:spacing w:line="480" w:lineRule="auto"/>
        <w:rPr>
          <w:rFonts w:ascii="Times New Roman" w:hAnsi="Times New Roman" w:cs="Times New Roman"/>
          <w:bCs/>
        </w:rPr>
      </w:pPr>
    </w:p>
    <w:sectPr w:rsidR="009F57A9" w:rsidRPr="00855FEC" w:rsidSect="008A725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4B04" w14:textId="77777777" w:rsidR="008A7253" w:rsidRDefault="008A7253" w:rsidP="00F25348">
      <w:r>
        <w:separator/>
      </w:r>
    </w:p>
  </w:endnote>
  <w:endnote w:type="continuationSeparator" w:id="0">
    <w:p w14:paraId="234026D0" w14:textId="77777777" w:rsidR="008A7253" w:rsidRDefault="008A7253" w:rsidP="00F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878B" w14:textId="77777777" w:rsidR="008A7253" w:rsidRDefault="008A7253" w:rsidP="00F25348">
      <w:r>
        <w:separator/>
      </w:r>
    </w:p>
  </w:footnote>
  <w:footnote w:type="continuationSeparator" w:id="0">
    <w:p w14:paraId="37AD1244" w14:textId="77777777" w:rsidR="008A7253" w:rsidRDefault="008A7253" w:rsidP="00F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453454"/>
      <w:docPartObj>
        <w:docPartGallery w:val="Page Numbers (Top of Page)"/>
        <w:docPartUnique/>
      </w:docPartObj>
    </w:sdtPr>
    <w:sdtContent>
      <w:p w14:paraId="4879FA3D" w14:textId="77777777" w:rsidR="00F25348" w:rsidRDefault="00F25348" w:rsidP="008B06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1DA31" w14:textId="77777777" w:rsidR="00F25348" w:rsidRDefault="00F25348" w:rsidP="00F25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00933900"/>
      <w:docPartObj>
        <w:docPartGallery w:val="Page Numbers (Top of Page)"/>
        <w:docPartUnique/>
      </w:docPartObj>
    </w:sdtPr>
    <w:sdtContent>
      <w:p w14:paraId="31B91E01" w14:textId="77777777" w:rsidR="00F25348" w:rsidRPr="00F25348" w:rsidRDefault="00F25348" w:rsidP="008B0614">
        <w:pPr>
          <w:pStyle w:val="Header"/>
          <w:framePr w:wrap="none" w:vAnchor="text" w:hAnchor="margin" w:xAlign="right" w:y="1"/>
          <w:rPr>
            <w:rStyle w:val="PageNumber"/>
            <w:rFonts w:ascii="Times New Roman" w:hAnsi="Times New Roman" w:cs="Times New Roman"/>
          </w:rPr>
        </w:pPr>
        <w:r w:rsidRPr="00F25348">
          <w:rPr>
            <w:rStyle w:val="PageNumber"/>
            <w:rFonts w:ascii="Times New Roman" w:hAnsi="Times New Roman" w:cs="Times New Roman"/>
          </w:rPr>
          <w:fldChar w:fldCharType="begin"/>
        </w:r>
        <w:r w:rsidRPr="00F25348">
          <w:rPr>
            <w:rStyle w:val="PageNumber"/>
            <w:rFonts w:ascii="Times New Roman" w:hAnsi="Times New Roman" w:cs="Times New Roman"/>
          </w:rPr>
          <w:instrText xml:space="preserve"> PAGE </w:instrText>
        </w:r>
        <w:r w:rsidRPr="00F25348">
          <w:rPr>
            <w:rStyle w:val="PageNumber"/>
            <w:rFonts w:ascii="Times New Roman" w:hAnsi="Times New Roman" w:cs="Times New Roman"/>
          </w:rPr>
          <w:fldChar w:fldCharType="separate"/>
        </w:r>
        <w:r w:rsidRPr="00F25348">
          <w:rPr>
            <w:rStyle w:val="PageNumber"/>
            <w:rFonts w:ascii="Times New Roman" w:hAnsi="Times New Roman" w:cs="Times New Roman"/>
            <w:noProof/>
          </w:rPr>
          <w:t>1</w:t>
        </w:r>
        <w:r w:rsidRPr="00F25348">
          <w:rPr>
            <w:rStyle w:val="PageNumber"/>
            <w:rFonts w:ascii="Times New Roman" w:hAnsi="Times New Roman" w:cs="Times New Roman"/>
          </w:rPr>
          <w:fldChar w:fldCharType="end"/>
        </w:r>
      </w:p>
    </w:sdtContent>
  </w:sdt>
  <w:p w14:paraId="25C0E72E" w14:textId="77777777" w:rsidR="00F25348" w:rsidRDefault="00F25348" w:rsidP="00F253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DD620E4"/>
    <w:multiLevelType w:val="hybridMultilevel"/>
    <w:tmpl w:val="250A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664192">
    <w:abstractNumId w:val="0"/>
  </w:num>
  <w:num w:numId="2" w16cid:durableId="782844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F"/>
    <w:rsid w:val="00025A7A"/>
    <w:rsid w:val="00064EE4"/>
    <w:rsid w:val="00084538"/>
    <w:rsid w:val="000A606D"/>
    <w:rsid w:val="001D441A"/>
    <w:rsid w:val="002071D5"/>
    <w:rsid w:val="00272754"/>
    <w:rsid w:val="002754CB"/>
    <w:rsid w:val="0031641E"/>
    <w:rsid w:val="00341071"/>
    <w:rsid w:val="003B7C0A"/>
    <w:rsid w:val="00440560"/>
    <w:rsid w:val="00451563"/>
    <w:rsid w:val="004654D7"/>
    <w:rsid w:val="00467260"/>
    <w:rsid w:val="004C29EA"/>
    <w:rsid w:val="00554F10"/>
    <w:rsid w:val="005848C2"/>
    <w:rsid w:val="0059774D"/>
    <w:rsid w:val="005C2928"/>
    <w:rsid w:val="005F2E8B"/>
    <w:rsid w:val="00622352"/>
    <w:rsid w:val="00643709"/>
    <w:rsid w:val="007B2B5D"/>
    <w:rsid w:val="007C6AD5"/>
    <w:rsid w:val="00835742"/>
    <w:rsid w:val="00855FEC"/>
    <w:rsid w:val="00866090"/>
    <w:rsid w:val="008A54F8"/>
    <w:rsid w:val="008A7253"/>
    <w:rsid w:val="009211C2"/>
    <w:rsid w:val="00983E5C"/>
    <w:rsid w:val="009B3EFD"/>
    <w:rsid w:val="009F0AF6"/>
    <w:rsid w:val="009F57A9"/>
    <w:rsid w:val="00AE16C4"/>
    <w:rsid w:val="00AF018E"/>
    <w:rsid w:val="00B579EF"/>
    <w:rsid w:val="00BB442F"/>
    <w:rsid w:val="00BF70B9"/>
    <w:rsid w:val="00C8297F"/>
    <w:rsid w:val="00CA22B7"/>
    <w:rsid w:val="00D1753A"/>
    <w:rsid w:val="00D411CD"/>
    <w:rsid w:val="00D57058"/>
    <w:rsid w:val="00D75010"/>
    <w:rsid w:val="00E11480"/>
    <w:rsid w:val="00F25348"/>
    <w:rsid w:val="00F64F1F"/>
    <w:rsid w:val="00F86CF7"/>
    <w:rsid w:val="00FB240A"/>
    <w:rsid w:val="00FB736E"/>
    <w:rsid w:val="00FD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A1AF3"/>
  <w15:chartTrackingRefBased/>
  <w15:docId w15:val="{9E51F9A9-43F4-5842-B811-6B5729E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48"/>
    <w:pPr>
      <w:tabs>
        <w:tab w:val="center" w:pos="4680"/>
        <w:tab w:val="right" w:pos="9360"/>
      </w:tabs>
    </w:pPr>
  </w:style>
  <w:style w:type="character" w:customStyle="1" w:styleId="HeaderChar">
    <w:name w:val="Header Char"/>
    <w:basedOn w:val="DefaultParagraphFont"/>
    <w:link w:val="Header"/>
    <w:uiPriority w:val="99"/>
    <w:rsid w:val="00F25348"/>
  </w:style>
  <w:style w:type="paragraph" w:styleId="Footer">
    <w:name w:val="footer"/>
    <w:basedOn w:val="Normal"/>
    <w:link w:val="FooterChar"/>
    <w:uiPriority w:val="99"/>
    <w:unhideWhenUsed/>
    <w:rsid w:val="00F25348"/>
    <w:pPr>
      <w:tabs>
        <w:tab w:val="center" w:pos="4680"/>
        <w:tab w:val="right" w:pos="9360"/>
      </w:tabs>
    </w:pPr>
  </w:style>
  <w:style w:type="character" w:customStyle="1" w:styleId="FooterChar">
    <w:name w:val="Footer Char"/>
    <w:basedOn w:val="DefaultParagraphFont"/>
    <w:link w:val="Footer"/>
    <w:uiPriority w:val="99"/>
    <w:rsid w:val="00F25348"/>
  </w:style>
  <w:style w:type="character" w:styleId="PageNumber">
    <w:name w:val="page number"/>
    <w:basedOn w:val="DefaultParagraphFont"/>
    <w:uiPriority w:val="99"/>
    <w:semiHidden/>
    <w:unhideWhenUsed/>
    <w:rsid w:val="00F25348"/>
  </w:style>
  <w:style w:type="character" w:styleId="Hyperlink">
    <w:name w:val="Hyperlink"/>
    <w:basedOn w:val="DefaultParagraphFont"/>
    <w:uiPriority w:val="99"/>
    <w:unhideWhenUsed/>
    <w:rsid w:val="00025A7A"/>
    <w:rPr>
      <w:color w:val="0563C1" w:themeColor="hyperlink"/>
      <w:u w:val="single"/>
    </w:rPr>
  </w:style>
  <w:style w:type="character" w:styleId="UnresolvedMention">
    <w:name w:val="Unresolved Mention"/>
    <w:basedOn w:val="DefaultParagraphFont"/>
    <w:uiPriority w:val="99"/>
    <w:semiHidden/>
    <w:unhideWhenUsed/>
    <w:rsid w:val="00025A7A"/>
    <w:rPr>
      <w:color w:val="605E5C"/>
      <w:shd w:val="clear" w:color="auto" w:fill="E1DFDD"/>
    </w:rPr>
  </w:style>
  <w:style w:type="paragraph" w:styleId="ListParagraph">
    <w:name w:val="List Paragraph"/>
    <w:basedOn w:val="Normal"/>
    <w:uiPriority w:val="34"/>
    <w:qFormat/>
    <w:rsid w:val="00855FEC"/>
    <w:pPr>
      <w:ind w:left="720"/>
      <w:contextualSpacing/>
    </w:pPr>
  </w:style>
  <w:style w:type="paragraph" w:styleId="NormalWeb">
    <w:name w:val="Normal (Web)"/>
    <w:basedOn w:val="Normal"/>
    <w:uiPriority w:val="99"/>
    <w:semiHidden/>
    <w:unhideWhenUsed/>
    <w:rsid w:val="00855FE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2570">
      <w:bodyDiv w:val="1"/>
      <w:marLeft w:val="0"/>
      <w:marRight w:val="0"/>
      <w:marTop w:val="0"/>
      <w:marBottom w:val="0"/>
      <w:divBdr>
        <w:top w:val="none" w:sz="0" w:space="0" w:color="auto"/>
        <w:left w:val="none" w:sz="0" w:space="0" w:color="auto"/>
        <w:bottom w:val="none" w:sz="0" w:space="0" w:color="auto"/>
        <w:right w:val="none" w:sz="0" w:space="0" w:color="auto"/>
      </w:divBdr>
    </w:div>
    <w:div w:id="776103715">
      <w:bodyDiv w:val="1"/>
      <w:marLeft w:val="0"/>
      <w:marRight w:val="0"/>
      <w:marTop w:val="0"/>
      <w:marBottom w:val="0"/>
      <w:divBdr>
        <w:top w:val="none" w:sz="0" w:space="0" w:color="auto"/>
        <w:left w:val="none" w:sz="0" w:space="0" w:color="auto"/>
        <w:bottom w:val="none" w:sz="0" w:space="0" w:color="auto"/>
        <w:right w:val="none" w:sz="0" w:space="0" w:color="auto"/>
      </w:divBdr>
    </w:div>
    <w:div w:id="1344169159">
      <w:bodyDiv w:val="1"/>
      <w:marLeft w:val="0"/>
      <w:marRight w:val="0"/>
      <w:marTop w:val="0"/>
      <w:marBottom w:val="0"/>
      <w:divBdr>
        <w:top w:val="none" w:sz="0" w:space="0" w:color="auto"/>
        <w:left w:val="none" w:sz="0" w:space="0" w:color="auto"/>
        <w:bottom w:val="none" w:sz="0" w:space="0" w:color="auto"/>
        <w:right w:val="none" w:sz="0" w:space="0" w:color="auto"/>
      </w:divBdr>
    </w:div>
    <w:div w:id="191335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 D. Cacacho</cp:lastModifiedBy>
  <cp:revision>12</cp:revision>
  <dcterms:created xsi:type="dcterms:W3CDTF">2024-03-12T19:18:00Z</dcterms:created>
  <dcterms:modified xsi:type="dcterms:W3CDTF">2024-03-12T21:58:00Z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2024-02-03T17:20:00Z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0b55e8f9-82ce-4fbc-82cf-31d3e85673a1</vt:lpwstr>
  </property>
  <property fmtid="{D5CDD505-2E9C-101B-9397-08002B2CF9AE}" pid="8" name="MSIP_Label_4fa07856-82bd-45bb-bddd-fb95b660c2d7_ContentBits">
    <vt:lpwstr>0</vt:lpwstr>
  </property>
</Properties>
</file>