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6F15" w14:textId="77777777" w:rsidR="00F25348" w:rsidRDefault="00F25348" w:rsidP="00F25348">
      <w:pPr>
        <w:spacing w:line="480" w:lineRule="auto"/>
        <w:contextualSpacing/>
        <w:rPr>
          <w:rFonts w:ascii="Times New Roman" w:hAnsi="Times New Roman" w:cs="Times New Roman"/>
          <w:bCs/>
        </w:rPr>
      </w:pPr>
    </w:p>
    <w:p w14:paraId="7CE53F5C" w14:textId="77777777" w:rsidR="00F25348" w:rsidRDefault="00F25348" w:rsidP="00F25348">
      <w:pPr>
        <w:spacing w:line="480" w:lineRule="auto"/>
        <w:contextualSpacing/>
        <w:rPr>
          <w:rFonts w:ascii="Times New Roman" w:hAnsi="Times New Roman" w:cs="Times New Roman"/>
          <w:bCs/>
        </w:rPr>
      </w:pPr>
    </w:p>
    <w:p w14:paraId="3CE13730" w14:textId="77777777" w:rsidR="00F25348" w:rsidRDefault="00F25348" w:rsidP="00F25348">
      <w:pPr>
        <w:spacing w:line="480" w:lineRule="auto"/>
        <w:contextualSpacing/>
        <w:rPr>
          <w:rFonts w:ascii="Times New Roman" w:hAnsi="Times New Roman" w:cs="Times New Roman"/>
          <w:bCs/>
        </w:rPr>
      </w:pPr>
    </w:p>
    <w:p w14:paraId="0520699A" w14:textId="77777777" w:rsidR="00F25348" w:rsidRDefault="00F25348" w:rsidP="00F25348">
      <w:pPr>
        <w:spacing w:line="480" w:lineRule="auto"/>
        <w:contextualSpacing/>
        <w:jc w:val="center"/>
        <w:rPr>
          <w:rFonts w:ascii="Times New Roman" w:hAnsi="Times New Roman" w:cs="Times New Roman"/>
          <w:b/>
        </w:rPr>
      </w:pPr>
    </w:p>
    <w:p w14:paraId="7B600D82" w14:textId="77777777" w:rsidR="008F7801" w:rsidRDefault="008F7801" w:rsidP="00F25348">
      <w:pPr>
        <w:spacing w:line="480" w:lineRule="auto"/>
        <w:contextualSpacing/>
        <w:jc w:val="center"/>
        <w:rPr>
          <w:rFonts w:ascii="Times New Roman" w:hAnsi="Times New Roman" w:cs="Times New Roman"/>
          <w:b/>
        </w:rPr>
      </w:pPr>
    </w:p>
    <w:p w14:paraId="41CAC1BF" w14:textId="77777777" w:rsidR="008F7801" w:rsidRDefault="008F7801" w:rsidP="00F25348">
      <w:pPr>
        <w:spacing w:line="480" w:lineRule="auto"/>
        <w:contextualSpacing/>
        <w:jc w:val="center"/>
        <w:rPr>
          <w:rFonts w:ascii="Times New Roman" w:hAnsi="Times New Roman" w:cs="Times New Roman"/>
          <w:b/>
        </w:rPr>
      </w:pPr>
    </w:p>
    <w:p w14:paraId="7B68EEC6" w14:textId="4B417646" w:rsidR="00E97447" w:rsidRDefault="008F6BBD" w:rsidP="00F25348">
      <w:pPr>
        <w:spacing w:line="480" w:lineRule="auto"/>
        <w:contextualSpacing/>
        <w:jc w:val="center"/>
        <w:rPr>
          <w:rFonts w:ascii="Times New Roman" w:hAnsi="Times New Roman" w:cs="Times New Roman"/>
          <w:b/>
        </w:rPr>
      </w:pPr>
      <w:r>
        <w:rPr>
          <w:rFonts w:ascii="Times New Roman" w:hAnsi="Times New Roman" w:cs="Times New Roman"/>
          <w:b/>
        </w:rPr>
        <w:t>Ellene White – A Pathophysiologic Case Study</w:t>
      </w:r>
    </w:p>
    <w:p w14:paraId="477FF8B6" w14:textId="0010EEDF" w:rsidR="00F25348" w:rsidRDefault="00F25348" w:rsidP="00F25348">
      <w:pPr>
        <w:spacing w:line="480" w:lineRule="auto"/>
        <w:contextualSpacing/>
        <w:jc w:val="center"/>
        <w:rPr>
          <w:rFonts w:ascii="Times New Roman" w:hAnsi="Times New Roman" w:cs="Times New Roman"/>
          <w:bCs/>
        </w:rPr>
      </w:pPr>
      <w:r>
        <w:rPr>
          <w:rFonts w:ascii="Times New Roman" w:hAnsi="Times New Roman" w:cs="Times New Roman"/>
          <w:bCs/>
        </w:rPr>
        <w:t>Francis D. Cacacho, BSN, RN</w:t>
      </w:r>
      <w:r w:rsidR="005C2928">
        <w:rPr>
          <w:rFonts w:ascii="Times New Roman" w:hAnsi="Times New Roman" w:cs="Times New Roman"/>
          <w:bCs/>
        </w:rPr>
        <w:t>, CCRN</w:t>
      </w:r>
    </w:p>
    <w:p w14:paraId="1080BFBE" w14:textId="34F5DAEF" w:rsidR="00F25348" w:rsidRDefault="008F6BBD" w:rsidP="00F25348">
      <w:pPr>
        <w:spacing w:line="480" w:lineRule="auto"/>
        <w:contextualSpacing/>
        <w:jc w:val="center"/>
        <w:rPr>
          <w:rFonts w:ascii="Times New Roman" w:hAnsi="Times New Roman" w:cs="Times New Roman"/>
          <w:bCs/>
        </w:rPr>
      </w:pPr>
      <w:r>
        <w:rPr>
          <w:rFonts w:ascii="Times New Roman" w:hAnsi="Times New Roman" w:cs="Times New Roman"/>
          <w:bCs/>
        </w:rPr>
        <w:t>NURS 534: Advanced Concepts in Physiology and Pathophysiology</w:t>
      </w:r>
    </w:p>
    <w:p w14:paraId="36489AF7" w14:textId="1874CB37" w:rsidR="00F25348" w:rsidRDefault="008F6BBD" w:rsidP="00F25348">
      <w:pPr>
        <w:spacing w:line="480" w:lineRule="auto"/>
        <w:contextualSpacing/>
        <w:jc w:val="center"/>
        <w:rPr>
          <w:rFonts w:ascii="Times New Roman" w:hAnsi="Times New Roman" w:cs="Times New Roman"/>
          <w:bCs/>
        </w:rPr>
      </w:pPr>
      <w:r>
        <w:rPr>
          <w:rFonts w:ascii="Times New Roman" w:hAnsi="Times New Roman" w:cs="Times New Roman"/>
          <w:bCs/>
        </w:rPr>
        <w:t>Dr. Kimberly Dunker</w:t>
      </w:r>
    </w:p>
    <w:p w14:paraId="5190B8BC" w14:textId="380BF5E4" w:rsidR="005C2928" w:rsidRPr="005C2928" w:rsidRDefault="00F25348" w:rsidP="005C2928">
      <w:pPr>
        <w:rPr>
          <w:rFonts w:ascii="Times New Roman" w:hAnsi="Times New Roman" w:cs="Times New Roman"/>
          <w:b/>
          <w:u w:val="single"/>
        </w:rPr>
      </w:pPr>
      <w:r>
        <w:rPr>
          <w:rFonts w:ascii="Times New Roman" w:hAnsi="Times New Roman" w:cs="Times New Roman"/>
          <w:b/>
          <w:u w:val="single"/>
        </w:rPr>
        <w:br w:type="page"/>
      </w:r>
    </w:p>
    <w:p w14:paraId="79AC80F1" w14:textId="278A58D4" w:rsidR="00DF6769" w:rsidRDefault="00DF6769" w:rsidP="008E0FCF">
      <w:pPr>
        <w:spacing w:line="480" w:lineRule="auto"/>
        <w:contextualSpacing/>
        <w:jc w:val="center"/>
        <w:rPr>
          <w:rFonts w:ascii="Times New Roman" w:hAnsi="Times New Roman" w:cs="Times New Roman"/>
          <w:b/>
        </w:rPr>
      </w:pPr>
      <w:r>
        <w:rPr>
          <w:rFonts w:ascii="Times New Roman" w:hAnsi="Times New Roman" w:cs="Times New Roman"/>
          <w:b/>
        </w:rPr>
        <w:lastRenderedPageBreak/>
        <w:t>Introduction &amp; Pathophysiology</w:t>
      </w:r>
    </w:p>
    <w:p w14:paraId="5F439130" w14:textId="77E33BB5" w:rsidR="009A3E20" w:rsidRDefault="008E0FCF" w:rsidP="008E0FCF">
      <w:pPr>
        <w:spacing w:line="480" w:lineRule="auto"/>
        <w:contextualSpacing/>
        <w:rPr>
          <w:rFonts w:ascii="Times New Roman" w:hAnsi="Times New Roman" w:cs="Times New Roman"/>
          <w:bCs/>
        </w:rPr>
      </w:pPr>
      <w:r>
        <w:rPr>
          <w:rFonts w:ascii="Times New Roman" w:hAnsi="Times New Roman" w:cs="Times New Roman"/>
          <w:b/>
        </w:rPr>
        <w:tab/>
      </w:r>
      <w:r>
        <w:rPr>
          <w:rFonts w:ascii="Times New Roman" w:hAnsi="Times New Roman" w:cs="Times New Roman"/>
          <w:bCs/>
        </w:rPr>
        <w:t xml:space="preserve">Ellene White is a 61-year-old female </w:t>
      </w:r>
      <w:r w:rsidR="00224A80">
        <w:rPr>
          <w:rFonts w:ascii="Times New Roman" w:hAnsi="Times New Roman" w:cs="Times New Roman"/>
          <w:bCs/>
        </w:rPr>
        <w:t>who presents</w:t>
      </w:r>
      <w:r>
        <w:rPr>
          <w:rFonts w:ascii="Times New Roman" w:hAnsi="Times New Roman" w:cs="Times New Roman"/>
          <w:bCs/>
        </w:rPr>
        <w:t xml:space="preserve"> to the emergency department with a chief complaint of flu-like symptoms, including a cough, runny nose, </w:t>
      </w:r>
      <w:r w:rsidR="00DC0F76">
        <w:rPr>
          <w:rFonts w:ascii="Times New Roman" w:hAnsi="Times New Roman" w:cs="Times New Roman"/>
          <w:bCs/>
        </w:rPr>
        <w:t xml:space="preserve">mild chest heaviness while breathing, </w:t>
      </w:r>
      <w:r>
        <w:rPr>
          <w:rFonts w:ascii="Times New Roman" w:hAnsi="Times New Roman" w:cs="Times New Roman"/>
          <w:bCs/>
        </w:rPr>
        <w:t>and fatigue</w:t>
      </w:r>
      <w:r w:rsidR="006C539E">
        <w:rPr>
          <w:rFonts w:ascii="Times New Roman" w:hAnsi="Times New Roman" w:cs="Times New Roman"/>
          <w:bCs/>
        </w:rPr>
        <w:t>.</w:t>
      </w:r>
      <w:r>
        <w:rPr>
          <w:rFonts w:ascii="Times New Roman" w:hAnsi="Times New Roman" w:cs="Times New Roman"/>
          <w:bCs/>
        </w:rPr>
        <w:t xml:space="preserve"> </w:t>
      </w:r>
      <w:r w:rsidR="000A5A6C">
        <w:rPr>
          <w:rFonts w:ascii="Times New Roman" w:hAnsi="Times New Roman" w:cs="Times New Roman"/>
          <w:bCs/>
        </w:rPr>
        <w:t xml:space="preserve">Her vital signs showed a heart rate of 131, blood pressure of 125/91, respiratory rate of 25, temperature of 101.5 F, oxygen saturation of 89%, and 6 out of 10 pain on her fingers. While your nursing assessment is mostly within normal limits, the only abnormalities found were red lesions on the fingers and an S3 heart murmur found by the doctor. </w:t>
      </w:r>
      <w:r w:rsidR="006C539E">
        <w:rPr>
          <w:rFonts w:ascii="Times New Roman" w:hAnsi="Times New Roman" w:cs="Times New Roman"/>
          <w:bCs/>
        </w:rPr>
        <w:t>After the doctor ordered diagnostic tests, including blood cultures</w:t>
      </w:r>
      <w:r w:rsidR="000A5A6C">
        <w:rPr>
          <w:rFonts w:ascii="Times New Roman" w:hAnsi="Times New Roman" w:cs="Times New Roman"/>
          <w:bCs/>
        </w:rPr>
        <w:t xml:space="preserve"> and a CBC (complete blood count) to rule out infection</w:t>
      </w:r>
      <w:r w:rsidR="006C539E">
        <w:rPr>
          <w:rFonts w:ascii="Times New Roman" w:hAnsi="Times New Roman" w:cs="Times New Roman"/>
          <w:bCs/>
        </w:rPr>
        <w:t xml:space="preserve">, </w:t>
      </w:r>
      <w:r w:rsidR="000A5A6C">
        <w:rPr>
          <w:rFonts w:ascii="Times New Roman" w:hAnsi="Times New Roman" w:cs="Times New Roman"/>
          <w:bCs/>
        </w:rPr>
        <w:t>an electrocardiogram (EKG) and troponin levels</w:t>
      </w:r>
      <w:r w:rsidR="000A5A6C">
        <w:rPr>
          <w:rFonts w:ascii="Times New Roman" w:hAnsi="Times New Roman" w:cs="Times New Roman"/>
          <w:bCs/>
        </w:rPr>
        <w:t xml:space="preserve"> to rule out myocardial infarction, and </w:t>
      </w:r>
      <w:r w:rsidR="006C539E">
        <w:rPr>
          <w:rFonts w:ascii="Times New Roman" w:hAnsi="Times New Roman" w:cs="Times New Roman"/>
          <w:bCs/>
        </w:rPr>
        <w:t>an echocardiogram</w:t>
      </w:r>
      <w:r w:rsidR="000A5A6C">
        <w:rPr>
          <w:rFonts w:ascii="Times New Roman" w:hAnsi="Times New Roman" w:cs="Times New Roman"/>
          <w:bCs/>
        </w:rPr>
        <w:t xml:space="preserve"> due to a murmur</w:t>
      </w:r>
      <w:r w:rsidR="006C539E">
        <w:rPr>
          <w:rFonts w:ascii="Times New Roman" w:hAnsi="Times New Roman" w:cs="Times New Roman"/>
          <w:bCs/>
        </w:rPr>
        <w:t>,</w:t>
      </w:r>
      <w:r w:rsidR="006C539E">
        <w:rPr>
          <w:rFonts w:ascii="Times New Roman" w:hAnsi="Times New Roman" w:cs="Times New Roman"/>
          <w:bCs/>
        </w:rPr>
        <w:t xml:space="preserve"> the patient was ultimately diagnosed with infective endocarditis</w:t>
      </w:r>
      <w:r w:rsidR="00702DEF">
        <w:rPr>
          <w:rFonts w:ascii="Times New Roman" w:hAnsi="Times New Roman" w:cs="Times New Roman"/>
          <w:bCs/>
        </w:rPr>
        <w:t xml:space="preserve"> (IE)</w:t>
      </w:r>
      <w:r w:rsidR="006C539E">
        <w:rPr>
          <w:rFonts w:ascii="Times New Roman" w:hAnsi="Times New Roman" w:cs="Times New Roman"/>
          <w:bCs/>
        </w:rPr>
        <w:t xml:space="preserve">. </w:t>
      </w:r>
    </w:p>
    <w:p w14:paraId="3260B249" w14:textId="0F28AABC" w:rsidR="00D82A45" w:rsidRDefault="003B59D7" w:rsidP="009A3E20">
      <w:pPr>
        <w:spacing w:line="480" w:lineRule="auto"/>
        <w:ind w:firstLine="720"/>
        <w:contextualSpacing/>
        <w:rPr>
          <w:rFonts w:ascii="Times New Roman" w:hAnsi="Times New Roman" w:cs="Times New Roman"/>
          <w:bCs/>
        </w:rPr>
      </w:pPr>
      <w:r>
        <w:rPr>
          <w:rFonts w:ascii="Times New Roman" w:hAnsi="Times New Roman" w:cs="Times New Roman"/>
          <w:bCs/>
        </w:rPr>
        <w:t>Infective endocarditis is a life-threatening infection of the inner heart surface involving the valves. The primary characteristic of this disease is the invasion of the heart valves, resulting in the formation of vegetations and the destruction of underlying cardiac tissues.</w:t>
      </w:r>
      <w:r w:rsidR="00504129">
        <w:rPr>
          <w:rFonts w:ascii="Times New Roman" w:hAnsi="Times New Roman" w:cs="Times New Roman"/>
          <w:bCs/>
        </w:rPr>
        <w:t xml:space="preserve"> While mitral valve </w:t>
      </w:r>
      <w:r w:rsidR="00D82A45">
        <w:rPr>
          <w:rFonts w:ascii="Times New Roman" w:hAnsi="Times New Roman" w:cs="Times New Roman"/>
          <w:bCs/>
        </w:rPr>
        <w:t>prolapse, congenital heart diseases, and underlying risk factors can contribute to this disease, external factors, including behaviors and implantable devices, in conjunction with conditions that can suppress someone’s immune system, play a significant</w:t>
      </w:r>
      <w:r w:rsidR="00504129">
        <w:rPr>
          <w:rFonts w:ascii="Times New Roman" w:hAnsi="Times New Roman" w:cs="Times New Roman"/>
          <w:bCs/>
        </w:rPr>
        <w:t xml:space="preserve"> role</w:t>
      </w:r>
      <w:r w:rsidR="009A3E20">
        <w:rPr>
          <w:rFonts w:ascii="Times New Roman" w:hAnsi="Times New Roman" w:cs="Times New Roman"/>
          <w:bCs/>
        </w:rPr>
        <w:t xml:space="preserve">. </w:t>
      </w:r>
      <w:r w:rsidR="00DC0F76">
        <w:rPr>
          <w:rFonts w:ascii="Times New Roman" w:hAnsi="Times New Roman" w:cs="Times New Roman"/>
          <w:bCs/>
        </w:rPr>
        <w:t>F</w:t>
      </w:r>
      <w:r w:rsidR="009A3E20">
        <w:rPr>
          <w:rFonts w:ascii="Times New Roman" w:hAnsi="Times New Roman" w:cs="Times New Roman"/>
          <w:bCs/>
        </w:rPr>
        <w:t>ever, chills, and systemic signs of inflammation, including spleen enlargement, anorexia, malaise, and lethargy</w:t>
      </w:r>
      <w:r w:rsidR="00DC0F76">
        <w:rPr>
          <w:rFonts w:ascii="Times New Roman" w:hAnsi="Times New Roman" w:cs="Times New Roman"/>
          <w:bCs/>
        </w:rPr>
        <w:t>, characterize the initial clinical manifestations of this disease. Physical characteristics of infective endocarditis include splinter hemorrhages and Osler’s nodes.</w:t>
      </w:r>
      <w:r w:rsidR="00504129">
        <w:rPr>
          <w:rFonts w:ascii="Times New Roman" w:hAnsi="Times New Roman" w:cs="Times New Roman"/>
          <w:bCs/>
        </w:rPr>
        <w:t xml:space="preserve"> </w:t>
      </w:r>
      <w:r w:rsidR="00504129" w:rsidRPr="00504129">
        <w:rPr>
          <w:rFonts w:ascii="Times New Roman" w:hAnsi="Times New Roman" w:cs="Times New Roman"/>
          <w:bCs/>
        </w:rPr>
        <w:t>(Norris &amp; Tuan, 2020)</w:t>
      </w:r>
      <w:r w:rsidR="00504129">
        <w:rPr>
          <w:rFonts w:ascii="Times New Roman" w:hAnsi="Times New Roman" w:cs="Times New Roman"/>
          <w:bCs/>
        </w:rPr>
        <w:t>.</w:t>
      </w:r>
      <w:r w:rsidR="00D82A45">
        <w:rPr>
          <w:rFonts w:ascii="Times New Roman" w:hAnsi="Times New Roman" w:cs="Times New Roman"/>
          <w:bCs/>
        </w:rPr>
        <w:t xml:space="preserve"> </w:t>
      </w:r>
    </w:p>
    <w:p w14:paraId="1CABDD06" w14:textId="48E1F335" w:rsidR="009A32A0" w:rsidRPr="00CB3F2E" w:rsidRDefault="00D574F7" w:rsidP="00CB3F2E">
      <w:pPr>
        <w:spacing w:line="480" w:lineRule="auto"/>
        <w:rPr>
          <w:rFonts w:ascii="Times New Roman" w:hAnsi="Times New Roman" w:cs="Times New Roman"/>
          <w:bCs/>
        </w:rPr>
      </w:pPr>
      <w:r>
        <w:rPr>
          <w:rFonts w:ascii="Times New Roman" w:hAnsi="Times New Roman" w:cs="Times New Roman"/>
          <w:bCs/>
        </w:rPr>
        <w:tab/>
      </w:r>
      <w:r w:rsidR="008F3780">
        <w:rPr>
          <w:rFonts w:ascii="Times New Roman" w:hAnsi="Times New Roman" w:cs="Times New Roman"/>
          <w:bCs/>
        </w:rPr>
        <w:t xml:space="preserve">The importance of </w:t>
      </w:r>
      <w:r w:rsidR="00702DEF">
        <w:rPr>
          <w:rFonts w:ascii="Times New Roman" w:hAnsi="Times New Roman" w:cs="Times New Roman"/>
          <w:bCs/>
        </w:rPr>
        <w:t>IE</w:t>
      </w:r>
      <w:r w:rsidR="008F3780">
        <w:rPr>
          <w:rFonts w:ascii="Times New Roman" w:hAnsi="Times New Roman" w:cs="Times New Roman"/>
          <w:bCs/>
        </w:rPr>
        <w:t xml:space="preserve"> was not primarily due to the disease process itself, but rather to the complications that can arise from it. With a population of patients having implantable devices that serve their purpose, including pacemakers, prosthetic valves, and defibrillators, these </w:t>
      </w:r>
      <w:r w:rsidR="008F3780">
        <w:rPr>
          <w:rFonts w:ascii="Times New Roman" w:hAnsi="Times New Roman" w:cs="Times New Roman"/>
          <w:bCs/>
        </w:rPr>
        <w:lastRenderedPageBreak/>
        <w:t xml:space="preserve">devices also serve as a host factor for </w:t>
      </w:r>
      <w:r w:rsidR="009A7005">
        <w:rPr>
          <w:rFonts w:ascii="Times New Roman" w:hAnsi="Times New Roman" w:cs="Times New Roman"/>
          <w:bCs/>
        </w:rPr>
        <w:t>microorganisms</w:t>
      </w:r>
      <w:r w:rsidR="008F3780">
        <w:rPr>
          <w:rFonts w:ascii="Times New Roman" w:hAnsi="Times New Roman" w:cs="Times New Roman"/>
          <w:bCs/>
        </w:rPr>
        <w:t xml:space="preserve"> to enter. </w:t>
      </w:r>
      <w:r w:rsidR="008F3780">
        <w:rPr>
          <w:rFonts w:ascii="Times New Roman" w:hAnsi="Times New Roman" w:cs="Times New Roman"/>
          <w:bCs/>
        </w:rPr>
        <w:t>In addition to caring for someone with these devices, complications can arise if one of the implantable devices becomes infected, potentially leading to altered function of the device.</w:t>
      </w:r>
      <w:r w:rsidR="008F3780">
        <w:rPr>
          <w:rFonts w:ascii="Times New Roman" w:hAnsi="Times New Roman" w:cs="Times New Roman"/>
          <w:bCs/>
        </w:rPr>
        <w:t xml:space="preserve"> Another </w:t>
      </w:r>
      <w:r w:rsidR="00CB3F2E">
        <w:rPr>
          <w:rFonts w:ascii="Times New Roman" w:hAnsi="Times New Roman" w:cs="Times New Roman"/>
          <w:bCs/>
        </w:rPr>
        <w:t>concerning</w:t>
      </w:r>
      <w:r w:rsidR="008F3780">
        <w:rPr>
          <w:rFonts w:ascii="Times New Roman" w:hAnsi="Times New Roman" w:cs="Times New Roman"/>
          <w:bCs/>
        </w:rPr>
        <w:t xml:space="preserve"> </w:t>
      </w:r>
      <w:r w:rsidR="00CB3F2E">
        <w:rPr>
          <w:rFonts w:ascii="Times New Roman" w:hAnsi="Times New Roman" w:cs="Times New Roman"/>
          <w:bCs/>
        </w:rPr>
        <w:t>aspect</w:t>
      </w:r>
      <w:r w:rsidR="008F3780">
        <w:rPr>
          <w:rFonts w:ascii="Times New Roman" w:hAnsi="Times New Roman" w:cs="Times New Roman"/>
          <w:bCs/>
        </w:rPr>
        <w:t xml:space="preserve"> is </w:t>
      </w:r>
      <w:r w:rsidR="00CB3F2E">
        <w:rPr>
          <w:rFonts w:ascii="Times New Roman" w:hAnsi="Times New Roman" w:cs="Times New Roman"/>
          <w:bCs/>
        </w:rPr>
        <w:t>with chest pain being the most common complaint in the emergency department; potential differential diagnoses including myocardial infarction, pulmonary embolism, and strokes are potential causes; what’s commonly overlooked is if one of these diagnoses are caused by an embolus, the issue of the origin of this embolus is a challenge in itself. While emboli are most commonly resolved through anticoagulants, the problem with infective endocarditis is that the emboli are not primarily resolved through anticoagulants, but through aggressive antibiotic therapy and surgery (</w:t>
      </w:r>
      <w:proofErr w:type="spellStart"/>
      <w:r w:rsidR="00CB3F2E" w:rsidRPr="00CB3F2E">
        <w:rPr>
          <w:rFonts w:ascii="Times New Roman" w:hAnsi="Times New Roman" w:cs="Times New Roman"/>
          <w:bCs/>
        </w:rPr>
        <w:t>Elsaghir</w:t>
      </w:r>
      <w:proofErr w:type="spellEnd"/>
      <w:r w:rsidR="00CB3F2E" w:rsidRPr="00CB3F2E">
        <w:rPr>
          <w:rFonts w:ascii="Times New Roman" w:hAnsi="Times New Roman" w:cs="Times New Roman"/>
          <w:bCs/>
        </w:rPr>
        <w:t>, 2023).</w:t>
      </w:r>
    </w:p>
    <w:p w14:paraId="20F370C3" w14:textId="44CF2864" w:rsidR="00DF6769" w:rsidRDefault="00DF6769" w:rsidP="00224A80">
      <w:pPr>
        <w:spacing w:line="480" w:lineRule="auto"/>
        <w:contextualSpacing/>
        <w:jc w:val="center"/>
        <w:rPr>
          <w:rFonts w:ascii="Times New Roman" w:hAnsi="Times New Roman" w:cs="Times New Roman"/>
          <w:b/>
        </w:rPr>
      </w:pPr>
      <w:r>
        <w:rPr>
          <w:rFonts w:ascii="Times New Roman" w:hAnsi="Times New Roman" w:cs="Times New Roman"/>
          <w:b/>
        </w:rPr>
        <w:t>Case Report Information</w:t>
      </w:r>
    </w:p>
    <w:p w14:paraId="7C537E76" w14:textId="77777777" w:rsidR="006F62F4" w:rsidRDefault="00224A80" w:rsidP="000A5A6C">
      <w:pPr>
        <w:spacing w:line="480" w:lineRule="auto"/>
        <w:contextualSpacing/>
        <w:rPr>
          <w:rFonts w:ascii="Times New Roman" w:hAnsi="Times New Roman" w:cs="Times New Roman"/>
          <w:bCs/>
        </w:rPr>
      </w:pPr>
      <w:r>
        <w:rPr>
          <w:rFonts w:ascii="Times New Roman" w:hAnsi="Times New Roman" w:cs="Times New Roman"/>
          <w:bCs/>
        </w:rPr>
        <w:tab/>
        <w:t xml:space="preserve">On top of Ms. White’s flu-like symptoms, she has a medical history of hypertension, smoking, </w:t>
      </w:r>
      <w:r w:rsidR="00741233">
        <w:rPr>
          <w:rFonts w:ascii="Times New Roman" w:hAnsi="Times New Roman" w:cs="Times New Roman"/>
          <w:bCs/>
        </w:rPr>
        <w:t xml:space="preserve">and </w:t>
      </w:r>
      <w:r>
        <w:rPr>
          <w:rFonts w:ascii="Times New Roman" w:hAnsi="Times New Roman" w:cs="Times New Roman"/>
          <w:bCs/>
        </w:rPr>
        <w:t xml:space="preserve">IV drug use. She had </w:t>
      </w:r>
      <w:r w:rsidR="00741233">
        <w:rPr>
          <w:rFonts w:ascii="Times New Roman" w:hAnsi="Times New Roman" w:cs="Times New Roman"/>
          <w:bCs/>
        </w:rPr>
        <w:t>a root canal procedure one week ago</w:t>
      </w:r>
      <w:r>
        <w:rPr>
          <w:rFonts w:ascii="Times New Roman" w:hAnsi="Times New Roman" w:cs="Times New Roman"/>
          <w:bCs/>
        </w:rPr>
        <w:t>. Ms. White’s medications include 50 milligrams of oral metoprolol twice a day, 10 milligrams of lisinopril twice a day</w:t>
      </w:r>
      <w:r w:rsidR="00741233">
        <w:rPr>
          <w:rFonts w:ascii="Times New Roman" w:hAnsi="Times New Roman" w:cs="Times New Roman"/>
          <w:bCs/>
        </w:rPr>
        <w:t xml:space="preserve">, oral amoxicillin 500 milligrams twice a day for seven days after the root canal procedure, and oral ibuprofen 600 milligrams every six hours as needed for pain after the root canal procedure. On top of her medical history, the patient states that she has been uncompliant with her medications after her root canal procedure. Her diagnostic results </w:t>
      </w:r>
      <w:r w:rsidR="000A5A6C">
        <w:rPr>
          <w:rFonts w:ascii="Times New Roman" w:hAnsi="Times New Roman" w:cs="Times New Roman"/>
          <w:bCs/>
        </w:rPr>
        <w:t xml:space="preserve">showed that her blood cultures were positive for </w:t>
      </w:r>
      <w:r w:rsidR="000A5A6C">
        <w:rPr>
          <w:rFonts w:ascii="Times New Roman" w:hAnsi="Times New Roman" w:cs="Times New Roman"/>
          <w:bCs/>
          <w:i/>
          <w:iCs/>
        </w:rPr>
        <w:t>Staphylococcus aureus</w:t>
      </w:r>
      <w:r w:rsidR="000A5A6C">
        <w:rPr>
          <w:rFonts w:ascii="Times New Roman" w:hAnsi="Times New Roman" w:cs="Times New Roman"/>
          <w:bCs/>
        </w:rPr>
        <w:t>.</w:t>
      </w:r>
      <w:r w:rsidR="000A5A6C">
        <w:rPr>
          <w:rFonts w:ascii="Times New Roman" w:hAnsi="Times New Roman" w:cs="Times New Roman"/>
          <w:bCs/>
        </w:rPr>
        <w:t xml:space="preserve"> </w:t>
      </w:r>
      <w:r w:rsidR="000A5A6C">
        <w:rPr>
          <w:rFonts w:ascii="Times New Roman" w:hAnsi="Times New Roman" w:cs="Times New Roman"/>
          <w:bCs/>
        </w:rPr>
        <w:t>H</w:t>
      </w:r>
      <w:r w:rsidR="000A5A6C">
        <w:rPr>
          <w:rFonts w:ascii="Times New Roman" w:hAnsi="Times New Roman" w:cs="Times New Roman"/>
          <w:bCs/>
        </w:rPr>
        <w:t>er complete blood count revealed an elevated white blood cell count and lactic acid levels</w:t>
      </w:r>
      <w:r w:rsidR="000A5A6C">
        <w:rPr>
          <w:rFonts w:ascii="Times New Roman" w:hAnsi="Times New Roman" w:cs="Times New Roman"/>
          <w:bCs/>
        </w:rPr>
        <w:t>.</w:t>
      </w:r>
      <w:r w:rsidR="000A5A6C">
        <w:rPr>
          <w:rFonts w:ascii="Times New Roman" w:hAnsi="Times New Roman" w:cs="Times New Roman"/>
          <w:bCs/>
        </w:rPr>
        <w:t xml:space="preserve"> </w:t>
      </w:r>
      <w:r w:rsidR="000A5A6C">
        <w:rPr>
          <w:rFonts w:ascii="Times New Roman" w:hAnsi="Times New Roman" w:cs="Times New Roman"/>
          <w:bCs/>
        </w:rPr>
        <w:t>T</w:t>
      </w:r>
      <w:r w:rsidR="000A5A6C">
        <w:rPr>
          <w:rFonts w:ascii="Times New Roman" w:hAnsi="Times New Roman" w:cs="Times New Roman"/>
          <w:bCs/>
        </w:rPr>
        <w:t xml:space="preserve">he echocardiogram indicated pulmonic valve vegetation, </w:t>
      </w:r>
      <w:r w:rsidR="000A5A6C">
        <w:rPr>
          <w:rFonts w:ascii="Times New Roman" w:hAnsi="Times New Roman" w:cs="Times New Roman"/>
          <w:bCs/>
        </w:rPr>
        <w:t xml:space="preserve">the EKG showed sinus tachycardia, </w:t>
      </w:r>
      <w:r w:rsidR="000A5A6C">
        <w:rPr>
          <w:rFonts w:ascii="Times New Roman" w:hAnsi="Times New Roman" w:cs="Times New Roman"/>
          <w:bCs/>
        </w:rPr>
        <w:t xml:space="preserve">and her troponin levels were within </w:t>
      </w:r>
      <w:r w:rsidR="000A5A6C">
        <w:rPr>
          <w:rFonts w:ascii="Times New Roman" w:hAnsi="Times New Roman" w:cs="Times New Roman"/>
          <w:bCs/>
        </w:rPr>
        <w:t xml:space="preserve">the </w:t>
      </w:r>
      <w:r w:rsidR="000A5A6C">
        <w:rPr>
          <w:rFonts w:ascii="Times New Roman" w:hAnsi="Times New Roman" w:cs="Times New Roman"/>
          <w:bCs/>
        </w:rPr>
        <w:t>normal range</w:t>
      </w:r>
      <w:r w:rsidR="006F62F4">
        <w:rPr>
          <w:rFonts w:ascii="Times New Roman" w:hAnsi="Times New Roman" w:cs="Times New Roman"/>
          <w:bCs/>
        </w:rPr>
        <w:t>.</w:t>
      </w:r>
    </w:p>
    <w:p w14:paraId="75142721" w14:textId="3D659009" w:rsidR="00702DEF" w:rsidRDefault="00702DEF" w:rsidP="006F62F4">
      <w:pPr>
        <w:spacing w:line="480" w:lineRule="auto"/>
        <w:ind w:firstLine="720"/>
        <w:contextualSpacing/>
        <w:rPr>
          <w:rFonts w:ascii="Times New Roman" w:hAnsi="Times New Roman" w:cs="Times New Roman"/>
          <w:bCs/>
        </w:rPr>
      </w:pPr>
      <w:r>
        <w:rPr>
          <w:rFonts w:ascii="Times New Roman" w:hAnsi="Times New Roman" w:cs="Times New Roman"/>
          <w:bCs/>
        </w:rPr>
        <w:lastRenderedPageBreak/>
        <w:t xml:space="preserve">Reflecting on Ms. White’s presentation, we can conclude how extensive her IE is. The pathophysiology of </w:t>
      </w:r>
      <w:r w:rsidR="00A2730D">
        <w:rPr>
          <w:rFonts w:ascii="Times New Roman" w:hAnsi="Times New Roman" w:cs="Times New Roman"/>
          <w:bCs/>
        </w:rPr>
        <w:t>infective endocarditis (</w:t>
      </w:r>
      <w:r>
        <w:rPr>
          <w:rFonts w:ascii="Times New Roman" w:hAnsi="Times New Roman" w:cs="Times New Roman"/>
          <w:bCs/>
        </w:rPr>
        <w:t>IE</w:t>
      </w:r>
      <w:r w:rsidR="00A2730D">
        <w:rPr>
          <w:rFonts w:ascii="Times New Roman" w:hAnsi="Times New Roman" w:cs="Times New Roman"/>
          <w:bCs/>
        </w:rPr>
        <w:t>)</w:t>
      </w:r>
      <w:r>
        <w:rPr>
          <w:rFonts w:ascii="Times New Roman" w:hAnsi="Times New Roman" w:cs="Times New Roman"/>
          <w:bCs/>
        </w:rPr>
        <w:t xml:space="preserve"> progresses through four distinct stages. The first stage is endothelial injury or inflammation; the inflammation from sepsis or injury leads to endothelial injury. The second stage </w:t>
      </w:r>
      <w:r>
        <w:rPr>
          <w:rFonts w:ascii="Times New Roman" w:hAnsi="Times New Roman" w:cs="Times New Roman"/>
          <w:bCs/>
        </w:rPr>
        <w:t>involves the formation of thrombotic lesions, characterized by deposits of fibrin-platelet aggregates on the damaged endothelium, specifically on the valves; this condition is also known</w:t>
      </w:r>
      <w:r>
        <w:rPr>
          <w:rFonts w:ascii="Times New Roman" w:hAnsi="Times New Roman" w:cs="Times New Roman"/>
          <w:bCs/>
        </w:rPr>
        <w:t xml:space="preserve"> as non-bacterial thrombotic endocarditis. The third stage is bacterial colonization, where bacteria then bind to the fibrin-platelet aggregates on the injured endothelium or valves. The </w:t>
      </w:r>
      <w:r w:rsidR="00A2730D">
        <w:rPr>
          <w:rFonts w:ascii="Times New Roman" w:hAnsi="Times New Roman" w:cs="Times New Roman"/>
          <w:bCs/>
        </w:rPr>
        <w:t>fourth</w:t>
      </w:r>
      <w:r>
        <w:rPr>
          <w:rFonts w:ascii="Times New Roman" w:hAnsi="Times New Roman" w:cs="Times New Roman"/>
          <w:bCs/>
        </w:rPr>
        <w:t xml:space="preserve"> and f</w:t>
      </w:r>
      <w:r w:rsidR="00A2730D">
        <w:rPr>
          <w:rFonts w:ascii="Times New Roman" w:hAnsi="Times New Roman" w:cs="Times New Roman"/>
          <w:bCs/>
        </w:rPr>
        <w:t>inal</w:t>
      </w:r>
      <w:r>
        <w:rPr>
          <w:rFonts w:ascii="Times New Roman" w:hAnsi="Times New Roman" w:cs="Times New Roman"/>
          <w:bCs/>
        </w:rPr>
        <w:t xml:space="preserve"> stage is vegetation formation and maturation. This stage shows the bacteria and fibrin-platelet aggregates forming vegetation </w:t>
      </w:r>
      <w:bookmarkStart w:id="0" w:name="OLE_LINK1"/>
      <w:r w:rsidRPr="00504129">
        <w:rPr>
          <w:rFonts w:ascii="Times New Roman" w:hAnsi="Times New Roman" w:cs="Times New Roman"/>
          <w:bCs/>
        </w:rPr>
        <w:t>(Norris &amp; Tuan, 2020)</w:t>
      </w:r>
      <w:r>
        <w:rPr>
          <w:rFonts w:ascii="Times New Roman" w:hAnsi="Times New Roman" w:cs="Times New Roman"/>
          <w:bCs/>
        </w:rPr>
        <w:t xml:space="preserve">. </w:t>
      </w:r>
      <w:bookmarkEnd w:id="0"/>
      <w:r>
        <w:rPr>
          <w:rFonts w:ascii="Times New Roman" w:hAnsi="Times New Roman" w:cs="Times New Roman"/>
          <w:bCs/>
        </w:rPr>
        <w:t xml:space="preserve">Based on the findings of the provider on Ms. White’s echocardiogram, Ms. White unfortunately is experiencing vegetation formation and maturation. </w:t>
      </w:r>
    </w:p>
    <w:p w14:paraId="1FB2793A" w14:textId="35496DEC" w:rsidR="0035399E" w:rsidRDefault="0035399E" w:rsidP="000A5A6C">
      <w:pPr>
        <w:spacing w:line="480" w:lineRule="auto"/>
        <w:contextualSpacing/>
        <w:rPr>
          <w:rFonts w:ascii="Times New Roman" w:hAnsi="Times New Roman" w:cs="Times New Roman"/>
          <w:bCs/>
        </w:rPr>
      </w:pPr>
      <w:r>
        <w:rPr>
          <w:rFonts w:ascii="Times New Roman" w:hAnsi="Times New Roman" w:cs="Times New Roman"/>
          <w:bCs/>
        </w:rPr>
        <w:tab/>
        <w:t xml:space="preserve">On top of the risk factors of IE, specific behaviors including IV drug use, alcohol use, recent dental surgeries, and host factors including neutropenia, immunodeficiency, malignancy, therapeutic immunosuppression, and diabetes contribute to the disease </w:t>
      </w:r>
      <w:r w:rsidRPr="00504129">
        <w:rPr>
          <w:rFonts w:ascii="Times New Roman" w:hAnsi="Times New Roman" w:cs="Times New Roman"/>
          <w:bCs/>
        </w:rPr>
        <w:t>(Norris &amp; Tuan, 2020)</w:t>
      </w:r>
      <w:r>
        <w:rPr>
          <w:rFonts w:ascii="Times New Roman" w:hAnsi="Times New Roman" w:cs="Times New Roman"/>
          <w:bCs/>
        </w:rPr>
        <w:t>. When we look at Ms. White’s behaviors of her IV drug use</w:t>
      </w:r>
      <w:r w:rsidR="003E32A5">
        <w:rPr>
          <w:rFonts w:ascii="Times New Roman" w:hAnsi="Times New Roman" w:cs="Times New Roman"/>
          <w:bCs/>
        </w:rPr>
        <w:t xml:space="preserve"> and </w:t>
      </w:r>
      <w:r>
        <w:rPr>
          <w:rFonts w:ascii="Times New Roman" w:hAnsi="Times New Roman" w:cs="Times New Roman"/>
          <w:bCs/>
        </w:rPr>
        <w:t>root canal procedure, those behaviors alone led her to IE</w:t>
      </w:r>
      <w:r w:rsidR="003E32A5">
        <w:rPr>
          <w:rFonts w:ascii="Times New Roman" w:hAnsi="Times New Roman" w:cs="Times New Roman"/>
          <w:bCs/>
        </w:rPr>
        <w:t>, on top of her not being compliant with her medications.</w:t>
      </w:r>
      <w:r>
        <w:rPr>
          <w:rFonts w:ascii="Times New Roman" w:hAnsi="Times New Roman" w:cs="Times New Roman"/>
          <w:bCs/>
        </w:rPr>
        <w:t xml:space="preserve"> </w:t>
      </w:r>
      <w:r>
        <w:rPr>
          <w:rFonts w:ascii="Times New Roman" w:hAnsi="Times New Roman" w:cs="Times New Roman"/>
          <w:bCs/>
        </w:rPr>
        <w:t>Typically, host factors combined with certain behaviors or implantable devices increase the risk of IE in patients.</w:t>
      </w:r>
      <w:r>
        <w:rPr>
          <w:rFonts w:ascii="Times New Roman" w:hAnsi="Times New Roman" w:cs="Times New Roman"/>
          <w:bCs/>
        </w:rPr>
        <w:t xml:space="preserve"> </w:t>
      </w:r>
    </w:p>
    <w:p w14:paraId="28049E67" w14:textId="44161210" w:rsidR="000A5A6C" w:rsidRPr="000A5A6C" w:rsidRDefault="000A5A6C" w:rsidP="00702DEF">
      <w:pPr>
        <w:spacing w:line="480" w:lineRule="auto"/>
        <w:ind w:firstLine="720"/>
        <w:contextualSpacing/>
        <w:rPr>
          <w:rFonts w:ascii="Times New Roman" w:hAnsi="Times New Roman" w:cs="Times New Roman"/>
          <w:bCs/>
        </w:rPr>
      </w:pPr>
      <w:r>
        <w:rPr>
          <w:rFonts w:ascii="Times New Roman" w:hAnsi="Times New Roman" w:cs="Times New Roman"/>
          <w:bCs/>
        </w:rPr>
        <w:t xml:space="preserve">The worsening signs of infective endocarditis </w:t>
      </w:r>
      <w:r w:rsidR="00702DEF">
        <w:rPr>
          <w:rFonts w:ascii="Times New Roman" w:hAnsi="Times New Roman" w:cs="Times New Roman"/>
          <w:bCs/>
        </w:rPr>
        <w:t>are shown through embolism involvement with its associated complications. Systemic embolic symptoms include a cough, dyspnea, arthralgia, arthritis, diarrhea, and abdominal pain. Complications include congestive heart failure, valve destruction, myocarditis, renal insufficiency, myocardial infarction, pulmonary embolism, and stroke</w:t>
      </w:r>
      <w:r w:rsidR="0035399E">
        <w:rPr>
          <w:rFonts w:ascii="Times New Roman" w:hAnsi="Times New Roman" w:cs="Times New Roman"/>
          <w:bCs/>
        </w:rPr>
        <w:t xml:space="preserve"> </w:t>
      </w:r>
      <w:r w:rsidR="0035399E" w:rsidRPr="00504129">
        <w:rPr>
          <w:rFonts w:ascii="Times New Roman" w:hAnsi="Times New Roman" w:cs="Times New Roman"/>
          <w:bCs/>
        </w:rPr>
        <w:t>(Norris &amp; Tuan, 2020)</w:t>
      </w:r>
      <w:r w:rsidR="00702DEF">
        <w:rPr>
          <w:rFonts w:ascii="Times New Roman" w:hAnsi="Times New Roman" w:cs="Times New Roman"/>
          <w:bCs/>
        </w:rPr>
        <w:t>.</w:t>
      </w:r>
      <w:r w:rsidR="0035399E">
        <w:rPr>
          <w:rFonts w:ascii="Times New Roman" w:hAnsi="Times New Roman" w:cs="Times New Roman"/>
          <w:bCs/>
        </w:rPr>
        <w:t xml:space="preserve"> </w:t>
      </w:r>
      <w:r w:rsidR="00444883">
        <w:rPr>
          <w:rFonts w:ascii="Times New Roman" w:hAnsi="Times New Roman" w:cs="Times New Roman"/>
          <w:bCs/>
        </w:rPr>
        <w:t xml:space="preserve">Ms. White is currently experiencing cough and </w:t>
      </w:r>
      <w:r w:rsidR="00444883">
        <w:rPr>
          <w:rFonts w:ascii="Times New Roman" w:hAnsi="Times New Roman" w:cs="Times New Roman"/>
          <w:bCs/>
        </w:rPr>
        <w:lastRenderedPageBreak/>
        <w:t xml:space="preserve">dyspnea, as evidenced by her mild chest heaviness while breathing. Unfortunately, there are systemic embolic symptoms involved in Ms. White’s case; it’s just unclear how extensive the damage is being done through her septic emboli. </w:t>
      </w:r>
    </w:p>
    <w:p w14:paraId="5E845AB0" w14:textId="24146131" w:rsidR="00DF6769" w:rsidRDefault="00DF6769" w:rsidP="00DF6769">
      <w:pPr>
        <w:spacing w:line="480" w:lineRule="auto"/>
        <w:contextualSpacing/>
        <w:jc w:val="center"/>
        <w:rPr>
          <w:rFonts w:ascii="Times New Roman" w:hAnsi="Times New Roman" w:cs="Times New Roman"/>
          <w:b/>
        </w:rPr>
      </w:pPr>
      <w:r>
        <w:rPr>
          <w:rFonts w:ascii="Times New Roman" w:hAnsi="Times New Roman" w:cs="Times New Roman"/>
          <w:b/>
        </w:rPr>
        <w:t>Intervention</w:t>
      </w:r>
    </w:p>
    <w:p w14:paraId="1F845EF4" w14:textId="4030ED59" w:rsidR="00394756" w:rsidRDefault="00786601" w:rsidP="00394756">
      <w:pPr>
        <w:spacing w:line="480" w:lineRule="auto"/>
        <w:contextualSpacing/>
        <w:rPr>
          <w:rFonts w:ascii="Times New Roman" w:hAnsi="Times New Roman" w:cs="Times New Roman"/>
          <w:bCs/>
        </w:rPr>
      </w:pPr>
      <w:r>
        <w:rPr>
          <w:rFonts w:ascii="Times New Roman" w:hAnsi="Times New Roman" w:cs="Times New Roman"/>
          <w:bCs/>
        </w:rPr>
        <w:tab/>
        <w:t xml:space="preserve">When we look at Ms. White’s presentation to the ED, she was experiencing low oxygen saturation, tachycardia, pain, fever, and suspected infection. Orders including a nasal cannula to maintain oxygen saturation above 92%, 5 milligrams of </w:t>
      </w:r>
      <w:r w:rsidR="003456D7">
        <w:rPr>
          <w:rFonts w:ascii="Times New Roman" w:hAnsi="Times New Roman" w:cs="Times New Roman"/>
          <w:bCs/>
        </w:rPr>
        <w:t xml:space="preserve">oral </w:t>
      </w:r>
      <w:r>
        <w:rPr>
          <w:rFonts w:ascii="Times New Roman" w:hAnsi="Times New Roman" w:cs="Times New Roman"/>
          <w:bCs/>
        </w:rPr>
        <w:t xml:space="preserve">oxycodone to treat her pain, </w:t>
      </w:r>
      <w:r w:rsidR="003456D7">
        <w:rPr>
          <w:rFonts w:ascii="Times New Roman" w:hAnsi="Times New Roman" w:cs="Times New Roman"/>
          <w:bCs/>
        </w:rPr>
        <w:t xml:space="preserve">25 milligrams of intravenous </w:t>
      </w:r>
      <w:r>
        <w:rPr>
          <w:rFonts w:ascii="Times New Roman" w:hAnsi="Times New Roman" w:cs="Times New Roman"/>
          <w:bCs/>
        </w:rPr>
        <w:t>metoprolol</w:t>
      </w:r>
      <w:r w:rsidR="003456D7">
        <w:rPr>
          <w:rFonts w:ascii="Times New Roman" w:hAnsi="Times New Roman" w:cs="Times New Roman"/>
          <w:bCs/>
        </w:rPr>
        <w:t xml:space="preserve">, 1 gram of intravenous piggyback Tylenol for fever, and 2 grams of intravenous piggyback ceftriaxone as a broad-spectrum antibiotic to treat infection would be expected by the doctor. Broad-spectrum antibiotics should be initiated while awaiting the results of the blood cultures. While all of these are acute interventions to treat the patient’s chief complaints, the primary interventions regarding IE are reflected in targeting the </w:t>
      </w:r>
      <w:r w:rsidR="009A7005">
        <w:rPr>
          <w:rFonts w:ascii="Times New Roman" w:hAnsi="Times New Roman" w:cs="Times New Roman"/>
          <w:bCs/>
        </w:rPr>
        <w:t>microorganism</w:t>
      </w:r>
      <w:r w:rsidR="003456D7">
        <w:rPr>
          <w:rFonts w:ascii="Times New Roman" w:hAnsi="Times New Roman" w:cs="Times New Roman"/>
          <w:bCs/>
        </w:rPr>
        <w:t>.</w:t>
      </w:r>
      <w:r w:rsidR="00394756">
        <w:rPr>
          <w:rFonts w:ascii="Times New Roman" w:hAnsi="Times New Roman" w:cs="Times New Roman"/>
          <w:bCs/>
        </w:rPr>
        <w:t xml:space="preserve"> </w:t>
      </w:r>
      <w:r w:rsidR="003456D7">
        <w:rPr>
          <w:rFonts w:ascii="Times New Roman" w:hAnsi="Times New Roman" w:cs="Times New Roman"/>
          <w:bCs/>
        </w:rPr>
        <w:t xml:space="preserve">The patient’s blood cultures came back positive for </w:t>
      </w:r>
      <w:r w:rsidR="003456D7">
        <w:rPr>
          <w:rFonts w:ascii="Times New Roman" w:hAnsi="Times New Roman" w:cs="Times New Roman"/>
          <w:bCs/>
          <w:i/>
          <w:iCs/>
        </w:rPr>
        <w:t>Staphylococcus aureus</w:t>
      </w:r>
      <w:r w:rsidR="003456D7">
        <w:rPr>
          <w:rFonts w:ascii="Times New Roman" w:hAnsi="Times New Roman" w:cs="Times New Roman"/>
          <w:bCs/>
        </w:rPr>
        <w:t xml:space="preserve">; </w:t>
      </w:r>
      <w:r w:rsidR="00394756">
        <w:rPr>
          <w:rFonts w:ascii="Times New Roman" w:hAnsi="Times New Roman" w:cs="Times New Roman"/>
          <w:bCs/>
        </w:rPr>
        <w:t xml:space="preserve">other acute interventions, including </w:t>
      </w:r>
      <w:r w:rsidR="003456D7">
        <w:rPr>
          <w:rFonts w:ascii="Times New Roman" w:hAnsi="Times New Roman" w:cs="Times New Roman"/>
          <w:bCs/>
        </w:rPr>
        <w:t xml:space="preserve">30 milligrams per kilogram </w:t>
      </w:r>
      <w:r w:rsidR="003456D7">
        <w:rPr>
          <w:rFonts w:ascii="Times New Roman" w:hAnsi="Times New Roman" w:cs="Times New Roman"/>
          <w:bCs/>
        </w:rPr>
        <w:t>of Vancomycin</w:t>
      </w:r>
      <w:r w:rsidR="00394756">
        <w:rPr>
          <w:rFonts w:ascii="Times New Roman" w:hAnsi="Times New Roman" w:cs="Times New Roman"/>
          <w:bCs/>
        </w:rPr>
        <w:t>,</w:t>
      </w:r>
      <w:r w:rsidR="003456D7">
        <w:rPr>
          <w:rFonts w:ascii="Times New Roman" w:hAnsi="Times New Roman" w:cs="Times New Roman"/>
          <w:bCs/>
        </w:rPr>
        <w:t xml:space="preserve"> must be started, as well as a central line being inserted due to the patient’s indication for aggressive antibiotic therapy </w:t>
      </w:r>
      <w:r w:rsidR="003456D7" w:rsidRPr="003456D7">
        <w:rPr>
          <w:rFonts w:ascii="Times New Roman" w:hAnsi="Times New Roman" w:cs="Times New Roman"/>
          <w:bCs/>
        </w:rPr>
        <w:t>(Tackling, 2023).</w:t>
      </w:r>
      <w:r w:rsidR="00394756">
        <w:rPr>
          <w:rFonts w:ascii="Times New Roman" w:hAnsi="Times New Roman" w:cs="Times New Roman"/>
          <w:bCs/>
        </w:rPr>
        <w:t xml:space="preserve"> </w:t>
      </w:r>
    </w:p>
    <w:p w14:paraId="0A1025B2" w14:textId="68299D2E" w:rsidR="009A32A0" w:rsidRPr="00FD0261" w:rsidRDefault="00394756" w:rsidP="00FD0261">
      <w:pPr>
        <w:spacing w:line="480" w:lineRule="auto"/>
        <w:ind w:firstLine="720"/>
        <w:rPr>
          <w:rFonts w:ascii="Times New Roman" w:hAnsi="Times New Roman" w:cs="Times New Roman"/>
          <w:bCs/>
        </w:rPr>
      </w:pPr>
      <w:r>
        <w:rPr>
          <w:rFonts w:ascii="Times New Roman" w:hAnsi="Times New Roman" w:cs="Times New Roman"/>
          <w:bCs/>
        </w:rPr>
        <w:t>After treating Ms. White’s initial chief complaints,</w:t>
      </w:r>
      <w:r w:rsidR="0016130C">
        <w:rPr>
          <w:rFonts w:ascii="Times New Roman" w:hAnsi="Times New Roman" w:cs="Times New Roman"/>
          <w:bCs/>
        </w:rPr>
        <w:t xml:space="preserve"> diagnostic tests, including a D-dimer and spinal CT scan, were ordered with admission to the step-down unit. The results showed that the D-dimer was positive, with the spinal CT scan saying that it’s positive for blood clots. After coming back from the spinal CT scan, the patient then complained of more shortness of breath and requiring more oxygen with an oxygen saturation of 91% on a four-liter nasal cannula. The respiratory therapist draws an arterial blood gas, and it shows that the pH is 7.48, PaCO2 of 30, and HCO3 of 19. In other words, the patient is in </w:t>
      </w:r>
      <w:r w:rsidR="00823177">
        <w:rPr>
          <w:rFonts w:ascii="Times New Roman" w:hAnsi="Times New Roman" w:cs="Times New Roman"/>
          <w:bCs/>
        </w:rPr>
        <w:t xml:space="preserve">respiratory alkalosis. The provider then </w:t>
      </w:r>
      <w:r w:rsidR="00823177">
        <w:rPr>
          <w:rFonts w:ascii="Times New Roman" w:hAnsi="Times New Roman" w:cs="Times New Roman"/>
          <w:bCs/>
        </w:rPr>
        <w:lastRenderedPageBreak/>
        <w:t>concludes that the patient is experiencing a pulmonary embolism due to the vegetation being lodged off as an embolus from the pulmonic valve.</w:t>
      </w:r>
      <w:r w:rsidR="00CA36F1">
        <w:rPr>
          <w:rFonts w:ascii="Times New Roman" w:hAnsi="Times New Roman" w:cs="Times New Roman"/>
          <w:bCs/>
        </w:rPr>
        <w:t xml:space="preserve"> When examining the extent of early surgical therapy, performing this </w:t>
      </w:r>
      <w:r w:rsidR="00FD0261">
        <w:rPr>
          <w:rFonts w:ascii="Times New Roman" w:hAnsi="Times New Roman" w:cs="Times New Roman"/>
          <w:bCs/>
        </w:rPr>
        <w:t xml:space="preserve">acute </w:t>
      </w:r>
      <w:r w:rsidR="00CA36F1">
        <w:rPr>
          <w:rFonts w:ascii="Times New Roman" w:hAnsi="Times New Roman" w:cs="Times New Roman"/>
          <w:bCs/>
        </w:rPr>
        <w:t>intervention within the first two days after diagnosis plays a crucial role in treating these patients (</w:t>
      </w:r>
      <w:proofErr w:type="spellStart"/>
      <w:r w:rsidR="00CA36F1" w:rsidRPr="00CA36F1">
        <w:rPr>
          <w:rFonts w:ascii="Times New Roman" w:hAnsi="Times New Roman" w:cs="Times New Roman"/>
          <w:bCs/>
        </w:rPr>
        <w:t>Elsaghir</w:t>
      </w:r>
      <w:proofErr w:type="spellEnd"/>
      <w:r w:rsidR="00CA36F1" w:rsidRPr="00CA36F1">
        <w:rPr>
          <w:rFonts w:ascii="Times New Roman" w:hAnsi="Times New Roman" w:cs="Times New Roman"/>
          <w:bCs/>
        </w:rPr>
        <w:t>, 2023).</w:t>
      </w:r>
      <w:r w:rsidR="00CA36F1">
        <w:rPr>
          <w:rFonts w:ascii="Times New Roman" w:hAnsi="Times New Roman" w:cs="Times New Roman"/>
          <w:bCs/>
        </w:rPr>
        <w:t xml:space="preserve"> Ms. White needs an emergent pulmonary endarterectomy (Health, 2025)</w:t>
      </w:r>
      <w:r w:rsidR="00086C19">
        <w:rPr>
          <w:rFonts w:ascii="Times New Roman" w:hAnsi="Times New Roman" w:cs="Times New Roman"/>
          <w:bCs/>
        </w:rPr>
        <w:t>.</w:t>
      </w:r>
    </w:p>
    <w:p w14:paraId="05468651" w14:textId="6307533D" w:rsidR="00DF6769" w:rsidRDefault="00DF6769" w:rsidP="00DF6769">
      <w:pPr>
        <w:spacing w:line="480" w:lineRule="auto"/>
        <w:contextualSpacing/>
        <w:jc w:val="center"/>
        <w:rPr>
          <w:rFonts w:ascii="Times New Roman" w:hAnsi="Times New Roman" w:cs="Times New Roman"/>
          <w:b/>
        </w:rPr>
      </w:pPr>
      <w:r>
        <w:rPr>
          <w:rFonts w:ascii="Times New Roman" w:hAnsi="Times New Roman" w:cs="Times New Roman"/>
          <w:b/>
        </w:rPr>
        <w:t>Results</w:t>
      </w:r>
    </w:p>
    <w:p w14:paraId="4E7FC33F" w14:textId="6462D4AC" w:rsidR="00DF6769" w:rsidRPr="00FD0261" w:rsidRDefault="00FD0261" w:rsidP="00FD0261">
      <w:pPr>
        <w:spacing w:line="480" w:lineRule="auto"/>
        <w:contextualSpacing/>
        <w:rPr>
          <w:rFonts w:ascii="Times New Roman" w:hAnsi="Times New Roman" w:cs="Times New Roman"/>
          <w:bCs/>
        </w:rPr>
      </w:pPr>
      <w:r>
        <w:rPr>
          <w:rFonts w:ascii="Times New Roman" w:hAnsi="Times New Roman" w:cs="Times New Roman"/>
          <w:b/>
        </w:rPr>
        <w:tab/>
      </w:r>
      <w:r>
        <w:rPr>
          <w:rFonts w:ascii="Times New Roman" w:hAnsi="Times New Roman" w:cs="Times New Roman"/>
          <w:bCs/>
        </w:rPr>
        <w:t xml:space="preserve">When you primarily focus on </w:t>
      </w:r>
      <w:r>
        <w:rPr>
          <w:rFonts w:ascii="Times New Roman" w:hAnsi="Times New Roman" w:cs="Times New Roman"/>
          <w:bCs/>
        </w:rPr>
        <w:t xml:space="preserve">treating IE before it reaches </w:t>
      </w:r>
      <w:r w:rsidR="00772A9C">
        <w:rPr>
          <w:rFonts w:ascii="Times New Roman" w:hAnsi="Times New Roman" w:cs="Times New Roman"/>
          <w:bCs/>
        </w:rPr>
        <w:t xml:space="preserve">any </w:t>
      </w:r>
      <w:r>
        <w:rPr>
          <w:rFonts w:ascii="Times New Roman" w:hAnsi="Times New Roman" w:cs="Times New Roman"/>
          <w:bCs/>
        </w:rPr>
        <w:t>complications, the treatment plan focuses on three key aspects: minimizing and eliminating the microorganism, minimizing any residual cardiac effects, and treating the pathologic effects of septic emboli</w:t>
      </w:r>
      <w:r>
        <w:rPr>
          <w:rFonts w:ascii="Times New Roman" w:hAnsi="Times New Roman" w:cs="Times New Roman"/>
          <w:bCs/>
        </w:rPr>
        <w:t xml:space="preserve"> </w:t>
      </w:r>
      <w:r w:rsidRPr="00504129">
        <w:rPr>
          <w:rFonts w:ascii="Times New Roman" w:hAnsi="Times New Roman" w:cs="Times New Roman"/>
          <w:bCs/>
        </w:rPr>
        <w:t>(Norris &amp; Tuan, 2020)</w:t>
      </w:r>
      <w:r>
        <w:rPr>
          <w:rFonts w:ascii="Times New Roman" w:hAnsi="Times New Roman" w:cs="Times New Roman"/>
          <w:bCs/>
        </w:rPr>
        <w:t>.</w:t>
      </w:r>
      <w:r>
        <w:rPr>
          <w:rFonts w:ascii="Times New Roman" w:hAnsi="Times New Roman" w:cs="Times New Roman"/>
          <w:bCs/>
        </w:rPr>
        <w:t xml:space="preserve"> </w:t>
      </w:r>
      <w:r w:rsidR="009A7005">
        <w:rPr>
          <w:rFonts w:ascii="Times New Roman" w:hAnsi="Times New Roman" w:cs="Times New Roman"/>
          <w:bCs/>
        </w:rPr>
        <w:t>To summarize what happened to Ms. White during her stay, she presented to the ED with flu-like symptoms that were ultimately determined to be IE. She was then started on broad-spectrum antibiotics and eventually Vancomycin to target the microorganism from the blood cultures while receiving supportive care for her symptoms. While getting her workup for IE, it was then complicated by pulmonary embolism due to her increasingly shortness of breath; the vegetation from her pulmonic valve lodged off into the pulmonary vasculature. Ms. White then needed to get a pulmonary endarterectomy to retrieve the clot emergently.</w:t>
      </w:r>
      <w:r w:rsidR="00772A9C">
        <w:rPr>
          <w:rFonts w:ascii="Times New Roman" w:hAnsi="Times New Roman" w:cs="Times New Roman"/>
          <w:bCs/>
        </w:rPr>
        <w:t xml:space="preserve"> The goal for Ms. White is to resolve her infectious state from the IE.</w:t>
      </w:r>
    </w:p>
    <w:p w14:paraId="3F9AECDC" w14:textId="431E84C1" w:rsidR="009A32A0" w:rsidRDefault="008038B1" w:rsidP="008038B1">
      <w:pPr>
        <w:spacing w:line="480" w:lineRule="auto"/>
        <w:contextualSpacing/>
        <w:rPr>
          <w:rFonts w:ascii="Times New Roman" w:hAnsi="Times New Roman" w:cs="Times New Roman"/>
          <w:bCs/>
        </w:rPr>
      </w:pPr>
      <w:r>
        <w:rPr>
          <w:rFonts w:ascii="Times New Roman" w:hAnsi="Times New Roman" w:cs="Times New Roman"/>
          <w:b/>
        </w:rPr>
        <w:tab/>
      </w:r>
      <w:r>
        <w:rPr>
          <w:rFonts w:ascii="Times New Roman" w:hAnsi="Times New Roman" w:cs="Times New Roman"/>
          <w:bCs/>
        </w:rPr>
        <w:t xml:space="preserve">A study done on patients undergoing lead extraction procedures for </w:t>
      </w:r>
      <w:r>
        <w:rPr>
          <w:rFonts w:ascii="Times New Roman" w:hAnsi="Times New Roman" w:cs="Times New Roman"/>
          <w:bCs/>
        </w:rPr>
        <w:t>lead-related infective endocarditis</w:t>
      </w:r>
      <w:r>
        <w:rPr>
          <w:rFonts w:ascii="Times New Roman" w:hAnsi="Times New Roman" w:cs="Times New Roman"/>
          <w:bCs/>
        </w:rPr>
        <w:t xml:space="preserve"> concluded that while it was proven not to increase the mortality of patients with pulmonary embolism related to endocarditis, it wasn’t necessarily proven to show a significant decrease </w:t>
      </w:r>
      <w:r w:rsidR="00772A9C">
        <w:rPr>
          <w:rFonts w:ascii="Times New Roman" w:hAnsi="Times New Roman" w:cs="Times New Roman"/>
          <w:bCs/>
        </w:rPr>
        <w:t>in</w:t>
      </w:r>
      <w:r>
        <w:rPr>
          <w:rFonts w:ascii="Times New Roman" w:hAnsi="Times New Roman" w:cs="Times New Roman"/>
          <w:bCs/>
        </w:rPr>
        <w:t xml:space="preserve"> complications following the pulmonary embolism</w:t>
      </w:r>
      <w:r w:rsidR="00772A9C">
        <w:rPr>
          <w:rFonts w:ascii="Times New Roman" w:hAnsi="Times New Roman" w:cs="Times New Roman"/>
          <w:bCs/>
        </w:rPr>
        <w:t xml:space="preserve">; overall, early surgical interventions are proven to be safe, feasible, and not contribute to long-term adverse outcomes </w:t>
      </w:r>
      <w:r w:rsidR="00772A9C" w:rsidRPr="00772A9C">
        <w:rPr>
          <w:rFonts w:ascii="Times New Roman" w:hAnsi="Times New Roman" w:cs="Times New Roman"/>
        </w:rPr>
        <w:t>(Bontempi et al., 2022)</w:t>
      </w:r>
      <w:r w:rsidR="00772A9C" w:rsidRPr="00772A9C">
        <w:rPr>
          <w:rFonts w:ascii="Times New Roman" w:hAnsi="Times New Roman" w:cs="Times New Roman"/>
          <w:bCs/>
        </w:rPr>
        <w:t>.</w:t>
      </w:r>
      <w:r w:rsidR="00772A9C">
        <w:rPr>
          <w:rFonts w:ascii="Times New Roman" w:hAnsi="Times New Roman" w:cs="Times New Roman"/>
          <w:bCs/>
        </w:rPr>
        <w:t xml:space="preserve"> </w:t>
      </w:r>
      <w:r w:rsidR="00457149">
        <w:rPr>
          <w:rFonts w:ascii="Times New Roman" w:hAnsi="Times New Roman" w:cs="Times New Roman"/>
          <w:bCs/>
        </w:rPr>
        <w:t xml:space="preserve">Another study </w:t>
      </w:r>
      <w:r w:rsidR="00902319">
        <w:rPr>
          <w:rFonts w:ascii="Times New Roman" w:hAnsi="Times New Roman" w:cs="Times New Roman"/>
          <w:bCs/>
        </w:rPr>
        <w:t xml:space="preserve">was </w:t>
      </w:r>
      <w:r w:rsidR="00902319">
        <w:rPr>
          <w:rFonts w:ascii="Times New Roman" w:hAnsi="Times New Roman" w:cs="Times New Roman"/>
          <w:bCs/>
        </w:rPr>
        <w:t xml:space="preserve">conducted to identify the factors that contribute to </w:t>
      </w:r>
      <w:r w:rsidR="00902319">
        <w:rPr>
          <w:rFonts w:ascii="Times New Roman" w:hAnsi="Times New Roman" w:cs="Times New Roman"/>
          <w:bCs/>
        </w:rPr>
        <w:lastRenderedPageBreak/>
        <w:t>poor outcomes in IE and to determine the characteristics that need to be implemented to achieve better outcomes and long-term surgical success</w:t>
      </w:r>
      <w:r w:rsidR="00902319">
        <w:rPr>
          <w:rFonts w:ascii="Times New Roman" w:hAnsi="Times New Roman" w:cs="Times New Roman"/>
          <w:bCs/>
        </w:rPr>
        <w:t xml:space="preserve"> in IE patients</w:t>
      </w:r>
      <w:r w:rsidR="00902319">
        <w:rPr>
          <w:rFonts w:ascii="Times New Roman" w:hAnsi="Times New Roman" w:cs="Times New Roman"/>
          <w:bCs/>
        </w:rPr>
        <w:t>.</w:t>
      </w:r>
      <w:r w:rsidR="00902319">
        <w:rPr>
          <w:rFonts w:ascii="Times New Roman" w:hAnsi="Times New Roman" w:cs="Times New Roman"/>
          <w:bCs/>
        </w:rPr>
        <w:t xml:space="preserve"> The study showed that surgical interventions showed a lower in-hospital mortality and better long-term survival through early detection and aggressive treatment, including antibiotics and surgery </w:t>
      </w:r>
      <w:r w:rsidR="00902319" w:rsidRPr="00902319">
        <w:rPr>
          <w:rFonts w:ascii="Times New Roman" w:hAnsi="Times New Roman" w:cs="Times New Roman"/>
        </w:rPr>
        <w:t>(</w:t>
      </w:r>
      <w:proofErr w:type="spellStart"/>
      <w:r w:rsidR="00902319" w:rsidRPr="00902319">
        <w:rPr>
          <w:rFonts w:ascii="Times New Roman" w:hAnsi="Times New Roman" w:cs="Times New Roman"/>
        </w:rPr>
        <w:t>Ilhão</w:t>
      </w:r>
      <w:proofErr w:type="spellEnd"/>
      <w:r w:rsidR="00902319" w:rsidRPr="00902319">
        <w:rPr>
          <w:rFonts w:ascii="Times New Roman" w:hAnsi="Times New Roman" w:cs="Times New Roman"/>
        </w:rPr>
        <w:t xml:space="preserve"> Moreira et al., 2018)</w:t>
      </w:r>
      <w:r w:rsidR="00902319" w:rsidRPr="00902319">
        <w:rPr>
          <w:rFonts w:ascii="Times New Roman" w:hAnsi="Times New Roman" w:cs="Times New Roman"/>
          <w:bCs/>
        </w:rPr>
        <w:t>.</w:t>
      </w:r>
      <w:r w:rsidR="00902319">
        <w:rPr>
          <w:rFonts w:ascii="Times New Roman" w:hAnsi="Times New Roman" w:cs="Times New Roman"/>
          <w:bCs/>
        </w:rPr>
        <w:t xml:space="preserve"> </w:t>
      </w:r>
      <w:r w:rsidR="00AF4C03">
        <w:rPr>
          <w:rFonts w:ascii="Times New Roman" w:hAnsi="Times New Roman" w:cs="Times New Roman"/>
          <w:bCs/>
        </w:rPr>
        <w:t>Based on the studies done on early detection of IE and aggressive treatment, and reflecting on the fact that Ms. White received her antibiotics and underwent surgery, Ms. White is on the expected course of her outcomes and goals of resolving her infectious state from the IE with low in-hospital mortality and ensured long-term survival</w:t>
      </w:r>
      <w:r w:rsidR="0099442D">
        <w:rPr>
          <w:rFonts w:ascii="Times New Roman" w:hAnsi="Times New Roman" w:cs="Times New Roman"/>
          <w:bCs/>
        </w:rPr>
        <w:t>.</w:t>
      </w:r>
    </w:p>
    <w:p w14:paraId="41014E89" w14:textId="200612FC" w:rsidR="00CC4D1E" w:rsidRPr="008038B1" w:rsidRDefault="00CC4D1E" w:rsidP="008038B1">
      <w:pPr>
        <w:spacing w:line="480" w:lineRule="auto"/>
        <w:contextualSpacing/>
        <w:rPr>
          <w:rFonts w:ascii="Times New Roman" w:hAnsi="Times New Roman" w:cs="Times New Roman"/>
          <w:bCs/>
        </w:rPr>
      </w:pPr>
      <w:r>
        <w:rPr>
          <w:rFonts w:ascii="Times New Roman" w:hAnsi="Times New Roman" w:cs="Times New Roman"/>
          <w:bCs/>
        </w:rPr>
        <w:tab/>
        <w:t xml:space="preserve">To ensure the best recovery for Ms. White, </w:t>
      </w:r>
      <w:r w:rsidR="00807529">
        <w:rPr>
          <w:rFonts w:ascii="Times New Roman" w:hAnsi="Times New Roman" w:cs="Times New Roman"/>
          <w:bCs/>
        </w:rPr>
        <w:t>intravenous antibiotic therapy must continue for 4-6 weeks to ensure decreased complications and reemergence of IE (</w:t>
      </w:r>
      <w:proofErr w:type="spellStart"/>
      <w:r w:rsidR="00CB3F2E" w:rsidRPr="00CB3F2E">
        <w:rPr>
          <w:rFonts w:ascii="Times New Roman" w:hAnsi="Times New Roman" w:cs="Times New Roman"/>
          <w:bCs/>
        </w:rPr>
        <w:t>Elsaghir</w:t>
      </w:r>
      <w:proofErr w:type="spellEnd"/>
      <w:r w:rsidR="00CB3F2E" w:rsidRPr="00CB3F2E">
        <w:rPr>
          <w:rFonts w:ascii="Times New Roman" w:hAnsi="Times New Roman" w:cs="Times New Roman"/>
          <w:bCs/>
        </w:rPr>
        <w:t>, 2023)</w:t>
      </w:r>
      <w:r w:rsidR="00807529">
        <w:rPr>
          <w:rFonts w:ascii="Times New Roman" w:hAnsi="Times New Roman" w:cs="Times New Roman"/>
          <w:bCs/>
        </w:rPr>
        <w:t xml:space="preserve">. </w:t>
      </w:r>
      <w:r w:rsidR="00FF79E2">
        <w:rPr>
          <w:rFonts w:ascii="Times New Roman" w:hAnsi="Times New Roman" w:cs="Times New Roman"/>
          <w:bCs/>
        </w:rPr>
        <w:t xml:space="preserve">While her emergent surgery </w:t>
      </w:r>
      <w:r w:rsidR="00FF79E2" w:rsidRPr="00EF126D">
        <w:rPr>
          <w:rFonts w:ascii="Times New Roman" w:hAnsi="Times New Roman" w:cs="Times New Roman"/>
          <w:bCs/>
        </w:rPr>
        <w:t xml:space="preserve">was due to a secondary injury caused by the infective endocarditis, the Duke Criteria is the best indicator for detecting IE early. The Duke Criteria is characterized </w:t>
      </w:r>
      <w:r w:rsidR="00EF126D" w:rsidRPr="00EF126D">
        <w:rPr>
          <w:rFonts w:ascii="Times New Roman" w:hAnsi="Times New Roman" w:cs="Times New Roman"/>
          <w:bCs/>
        </w:rPr>
        <w:t>by</w:t>
      </w:r>
      <w:r w:rsidR="00FF79E2" w:rsidRPr="00EF126D">
        <w:rPr>
          <w:rFonts w:ascii="Times New Roman" w:hAnsi="Times New Roman" w:cs="Times New Roman"/>
          <w:bCs/>
        </w:rPr>
        <w:t xml:space="preserve"> having </w:t>
      </w:r>
      <w:r w:rsidR="00EF126D" w:rsidRPr="00EF126D">
        <w:rPr>
          <w:rFonts w:ascii="Times New Roman" w:hAnsi="Times New Roman" w:cs="Times New Roman"/>
          <w:bCs/>
        </w:rPr>
        <w:t xml:space="preserve">either </w:t>
      </w:r>
      <w:r w:rsidR="00FF79E2" w:rsidRPr="00EF126D">
        <w:rPr>
          <w:rFonts w:ascii="Times New Roman" w:hAnsi="Times New Roman" w:cs="Times New Roman"/>
          <w:bCs/>
        </w:rPr>
        <w:t>two major criteria</w:t>
      </w:r>
      <w:r w:rsidR="00EF126D" w:rsidRPr="00EF126D">
        <w:rPr>
          <w:rFonts w:ascii="Times New Roman" w:hAnsi="Times New Roman" w:cs="Times New Roman"/>
          <w:bCs/>
        </w:rPr>
        <w:t>, either</w:t>
      </w:r>
      <w:r w:rsidR="00FF79E2" w:rsidRPr="00EF126D">
        <w:rPr>
          <w:rFonts w:ascii="Times New Roman" w:hAnsi="Times New Roman" w:cs="Times New Roman"/>
          <w:bCs/>
        </w:rPr>
        <w:t xml:space="preserve"> one major criteria</w:t>
      </w:r>
      <w:r w:rsidR="00EF126D" w:rsidRPr="00EF126D">
        <w:rPr>
          <w:rFonts w:ascii="Times New Roman" w:hAnsi="Times New Roman" w:cs="Times New Roman"/>
          <w:bCs/>
        </w:rPr>
        <w:t xml:space="preserve"> and</w:t>
      </w:r>
      <w:r w:rsidR="00FF79E2" w:rsidRPr="00EF126D">
        <w:rPr>
          <w:rFonts w:ascii="Times New Roman" w:hAnsi="Times New Roman" w:cs="Times New Roman"/>
          <w:bCs/>
        </w:rPr>
        <w:t xml:space="preserve"> three m</w:t>
      </w:r>
      <w:r w:rsidR="00EF126D" w:rsidRPr="00EF126D">
        <w:rPr>
          <w:rFonts w:ascii="Times New Roman" w:hAnsi="Times New Roman" w:cs="Times New Roman"/>
          <w:bCs/>
        </w:rPr>
        <w:t>in</w:t>
      </w:r>
      <w:r w:rsidR="00FF79E2" w:rsidRPr="00EF126D">
        <w:rPr>
          <w:rFonts w:ascii="Times New Roman" w:hAnsi="Times New Roman" w:cs="Times New Roman"/>
          <w:bCs/>
        </w:rPr>
        <w:t>or criteria</w:t>
      </w:r>
      <w:r w:rsidR="00EF126D" w:rsidRPr="00EF126D">
        <w:rPr>
          <w:rFonts w:ascii="Times New Roman" w:hAnsi="Times New Roman" w:cs="Times New Roman"/>
          <w:bCs/>
        </w:rPr>
        <w:t xml:space="preserve">, or either five minor criteria. The major criteria are: positive blood cultures or evidence of endocardial involvement. The minor criteria are: predisposing conditions including IV drug use, a fever over 38 degrees Celsius, vascular phenomena including emboli or hemorrhage, or immunologic phenomena including Osler’s nodes </w:t>
      </w:r>
      <w:r w:rsidR="00EF126D" w:rsidRPr="00EF126D">
        <w:rPr>
          <w:rFonts w:ascii="Times New Roman" w:hAnsi="Times New Roman" w:cs="Times New Roman"/>
        </w:rPr>
        <w:t>(Bubar &amp; Stevens, 2025)</w:t>
      </w:r>
      <w:r w:rsidR="00EF126D" w:rsidRPr="00EF126D">
        <w:rPr>
          <w:rFonts w:ascii="Times New Roman" w:hAnsi="Times New Roman" w:cs="Times New Roman"/>
          <w:bCs/>
        </w:rPr>
        <w:t xml:space="preserve">. </w:t>
      </w:r>
      <w:r w:rsidR="00FF79E2" w:rsidRPr="00EF126D">
        <w:rPr>
          <w:rFonts w:ascii="Times New Roman" w:hAnsi="Times New Roman" w:cs="Times New Roman"/>
          <w:bCs/>
        </w:rPr>
        <w:t>Just like how nurses do sepsis screenings for patients admitted to the hospital, there should be screenings that relate to the Duke Criteria.</w:t>
      </w:r>
      <w:r w:rsidR="00FF79E2">
        <w:rPr>
          <w:rFonts w:ascii="Times New Roman" w:hAnsi="Times New Roman" w:cs="Times New Roman"/>
          <w:bCs/>
        </w:rPr>
        <w:t xml:space="preserve"> </w:t>
      </w:r>
    </w:p>
    <w:p w14:paraId="32DB15E0" w14:textId="2C8EE532" w:rsidR="00DF6769" w:rsidRDefault="00DF6769" w:rsidP="00DF6769">
      <w:pPr>
        <w:spacing w:line="480" w:lineRule="auto"/>
        <w:contextualSpacing/>
        <w:jc w:val="center"/>
        <w:rPr>
          <w:rFonts w:ascii="Times New Roman" w:hAnsi="Times New Roman" w:cs="Times New Roman"/>
          <w:b/>
        </w:rPr>
      </w:pPr>
      <w:r>
        <w:rPr>
          <w:rFonts w:ascii="Times New Roman" w:hAnsi="Times New Roman" w:cs="Times New Roman"/>
          <w:b/>
        </w:rPr>
        <w:t xml:space="preserve">Implications </w:t>
      </w:r>
      <w:r w:rsidR="009A32A0">
        <w:rPr>
          <w:rFonts w:ascii="Times New Roman" w:hAnsi="Times New Roman" w:cs="Times New Roman"/>
          <w:b/>
        </w:rPr>
        <w:t>for</w:t>
      </w:r>
      <w:r>
        <w:rPr>
          <w:rFonts w:ascii="Times New Roman" w:hAnsi="Times New Roman" w:cs="Times New Roman"/>
          <w:b/>
        </w:rPr>
        <w:t xml:space="preserve"> Nursing</w:t>
      </w:r>
    </w:p>
    <w:p w14:paraId="5B7C8FDF" w14:textId="23C7D134" w:rsidR="003B59D7" w:rsidRDefault="00A2730D" w:rsidP="00A2730D">
      <w:pPr>
        <w:spacing w:line="480" w:lineRule="auto"/>
        <w:contextualSpacing/>
        <w:rPr>
          <w:rFonts w:ascii="Times New Roman" w:hAnsi="Times New Roman" w:cs="Times New Roman"/>
          <w:bCs/>
        </w:rPr>
      </w:pPr>
      <w:r>
        <w:rPr>
          <w:rFonts w:ascii="Times New Roman" w:hAnsi="Times New Roman" w:cs="Times New Roman"/>
          <w:bCs/>
        </w:rPr>
        <w:tab/>
        <w:t xml:space="preserve">Similarly, patients on chronic anticoagulants are considered a bleeding risk. Patients with implantable devices should be seen as at risk for infections. We view these devices as a means to support a patient’s physiological status, but they should also be considered for potential </w:t>
      </w:r>
      <w:r>
        <w:rPr>
          <w:rFonts w:ascii="Times New Roman" w:hAnsi="Times New Roman" w:cs="Times New Roman"/>
          <w:bCs/>
        </w:rPr>
        <w:lastRenderedPageBreak/>
        <w:t xml:space="preserve">infections if the patient is at risk. In the case of Ms. White, teaching needs to be done regarding adherence to her medication regimen of antibiotics after her root canal procedure, as well as the dangers of IV drug use. Medication adherence should be addressed </w:t>
      </w:r>
      <w:r w:rsidR="00937238">
        <w:rPr>
          <w:rFonts w:ascii="Times New Roman" w:hAnsi="Times New Roman" w:cs="Times New Roman"/>
          <w:bCs/>
        </w:rPr>
        <w:t xml:space="preserve">first </w:t>
      </w:r>
      <w:r>
        <w:rPr>
          <w:rFonts w:ascii="Times New Roman" w:hAnsi="Times New Roman" w:cs="Times New Roman"/>
          <w:bCs/>
        </w:rPr>
        <w:t xml:space="preserve">in the primary care setting; strategies include reducing the negative perceptions </w:t>
      </w:r>
      <w:r w:rsidR="00937238">
        <w:rPr>
          <w:rFonts w:ascii="Times New Roman" w:hAnsi="Times New Roman" w:cs="Times New Roman"/>
          <w:bCs/>
        </w:rPr>
        <w:t>associated with</w:t>
      </w:r>
      <w:r>
        <w:rPr>
          <w:rFonts w:ascii="Times New Roman" w:hAnsi="Times New Roman" w:cs="Times New Roman"/>
          <w:bCs/>
        </w:rPr>
        <w:t xml:space="preserve"> medication-taking</w:t>
      </w:r>
      <w:r w:rsidR="00937238">
        <w:rPr>
          <w:rFonts w:ascii="Times New Roman" w:hAnsi="Times New Roman" w:cs="Times New Roman"/>
          <w:bCs/>
        </w:rPr>
        <w:t xml:space="preserve"> and increasing support networks. Barriers also need to be addressed, including a lack of knowledge, the strength of habits, and a shortage of human </w:t>
      </w:r>
      <w:r w:rsidR="00937238" w:rsidRPr="00937238">
        <w:rPr>
          <w:rFonts w:ascii="Times New Roman" w:hAnsi="Times New Roman" w:cs="Times New Roman"/>
          <w:bCs/>
        </w:rPr>
        <w:t xml:space="preserve">resources </w:t>
      </w:r>
      <w:r w:rsidR="00937238" w:rsidRPr="00937238">
        <w:rPr>
          <w:rFonts w:ascii="Times New Roman" w:hAnsi="Times New Roman" w:cs="Times New Roman"/>
        </w:rPr>
        <w:t>(Oliveira et al., 2024)</w:t>
      </w:r>
      <w:r w:rsidR="00937238" w:rsidRPr="00937238">
        <w:rPr>
          <w:rFonts w:ascii="Times New Roman" w:hAnsi="Times New Roman" w:cs="Times New Roman"/>
          <w:bCs/>
        </w:rPr>
        <w:t>.</w:t>
      </w:r>
      <w:r w:rsidR="00937238">
        <w:rPr>
          <w:rFonts w:ascii="Times New Roman" w:hAnsi="Times New Roman" w:cs="Times New Roman"/>
          <w:bCs/>
        </w:rPr>
        <w:t xml:space="preserve"> Regarding IV drug use, it should be addressed in the same way as medication adherence. De-addiction and rehabilitation centers need to be implemented, as well as periodic outreach awareness camps for anti-drug abuse </w:t>
      </w:r>
      <w:r w:rsidR="00937238" w:rsidRPr="00937238">
        <w:rPr>
          <w:rFonts w:ascii="Times New Roman" w:hAnsi="Times New Roman" w:cs="Times New Roman"/>
          <w:bCs/>
        </w:rPr>
        <w:t xml:space="preserve">activities </w:t>
      </w:r>
      <w:r w:rsidR="00937238" w:rsidRPr="00937238">
        <w:rPr>
          <w:rFonts w:ascii="Times New Roman" w:hAnsi="Times New Roman" w:cs="Times New Roman"/>
        </w:rPr>
        <w:t>(Sharma et al., 2017)</w:t>
      </w:r>
      <w:r w:rsidR="00937238" w:rsidRPr="00937238">
        <w:rPr>
          <w:rFonts w:ascii="Times New Roman" w:hAnsi="Times New Roman" w:cs="Times New Roman"/>
          <w:bCs/>
        </w:rPr>
        <w:t>.</w:t>
      </w:r>
      <w:r w:rsidR="00937238">
        <w:rPr>
          <w:rFonts w:ascii="Times New Roman" w:hAnsi="Times New Roman" w:cs="Times New Roman"/>
          <w:bCs/>
        </w:rPr>
        <w:t xml:space="preserve"> </w:t>
      </w:r>
    </w:p>
    <w:p w14:paraId="47080876" w14:textId="2DB83C27" w:rsidR="003B59D7" w:rsidRPr="00696A0D" w:rsidRDefault="00937238" w:rsidP="00696A0D">
      <w:pPr>
        <w:spacing w:line="480" w:lineRule="auto"/>
        <w:contextualSpacing/>
        <w:rPr>
          <w:rFonts w:ascii="Times New Roman" w:hAnsi="Times New Roman" w:cs="Times New Roman"/>
          <w:bCs/>
        </w:rPr>
      </w:pPr>
      <w:r>
        <w:rPr>
          <w:rFonts w:ascii="Times New Roman" w:hAnsi="Times New Roman" w:cs="Times New Roman"/>
          <w:bCs/>
        </w:rPr>
        <w:tab/>
        <w:t xml:space="preserve">Suppose the patient is being discharged home to continue antibiotic therapy. In that case, education </w:t>
      </w:r>
      <w:r>
        <w:rPr>
          <w:rFonts w:ascii="Times New Roman" w:hAnsi="Times New Roman" w:cs="Times New Roman"/>
          <w:bCs/>
        </w:rPr>
        <w:t>must be provided on how to administer intravenous antibiotics, as well as the care required for the intravenous line.</w:t>
      </w:r>
      <w:r>
        <w:rPr>
          <w:rFonts w:ascii="Times New Roman" w:hAnsi="Times New Roman" w:cs="Times New Roman"/>
          <w:bCs/>
        </w:rPr>
        <w:t xml:space="preserve"> In the case of Ms. White, she needs to practice better oral care due to her recent root canal </w:t>
      </w:r>
      <w:r w:rsidR="00696A0D">
        <w:rPr>
          <w:rFonts w:ascii="Times New Roman" w:hAnsi="Times New Roman" w:cs="Times New Roman"/>
          <w:bCs/>
        </w:rPr>
        <w:t>surgery. Communication with her dentist must be done routinely to ensure no infections or complications originating in the oral cavity, as this route serves as a risk factor for</w:t>
      </w:r>
      <w:r>
        <w:rPr>
          <w:rFonts w:ascii="Times New Roman" w:hAnsi="Times New Roman" w:cs="Times New Roman"/>
          <w:bCs/>
        </w:rPr>
        <w:t xml:space="preserve"> IE. </w:t>
      </w:r>
      <w:r w:rsidR="00696A0D">
        <w:rPr>
          <w:rFonts w:ascii="Times New Roman" w:hAnsi="Times New Roman" w:cs="Times New Roman"/>
          <w:bCs/>
        </w:rPr>
        <w:t xml:space="preserve">Smoking is another factor that’s in Ms. White’s history; programs to quit smoking are essential due to not only leading to improper oral hygiene, but to respiratory complications as well. It’s also important to be educated on any signs of infection, including fevers, sweats, bloody urine, loss of appetite, pallor, lightheadedness, chest pain, shortness of breath, or a fluttering heartbeat. Knowing the symptoms of a myocardial </w:t>
      </w:r>
      <w:r w:rsidR="00696A0D">
        <w:rPr>
          <w:rFonts w:ascii="Times New Roman" w:hAnsi="Times New Roman" w:cs="Times New Roman"/>
          <w:bCs/>
        </w:rPr>
        <w:t>infarction, pulmonary embolism, and stroke is essential due to the dangers of vegetation serving as septic emboli.</w:t>
      </w:r>
      <w:r w:rsidR="00696A0D">
        <w:rPr>
          <w:rFonts w:ascii="Times New Roman" w:hAnsi="Times New Roman" w:cs="Times New Roman"/>
          <w:bCs/>
        </w:rPr>
        <w:t xml:space="preserve"> Lastly, even though it’s generalized, </w:t>
      </w:r>
      <w:r w:rsidR="00696A0D">
        <w:rPr>
          <w:rFonts w:ascii="Times New Roman" w:hAnsi="Times New Roman" w:cs="Times New Roman"/>
          <w:bCs/>
        </w:rPr>
        <w:t xml:space="preserve">it’s </w:t>
      </w:r>
      <w:r w:rsidR="00696A0D">
        <w:rPr>
          <w:rFonts w:ascii="Times New Roman" w:hAnsi="Times New Roman" w:cs="Times New Roman"/>
          <w:bCs/>
        </w:rPr>
        <w:t>critic</w:t>
      </w:r>
      <w:r w:rsidR="00696A0D">
        <w:rPr>
          <w:rFonts w:ascii="Times New Roman" w:hAnsi="Times New Roman" w:cs="Times New Roman"/>
          <w:bCs/>
        </w:rPr>
        <w:t>al to practice proper hygiene and seek the correct treatment if any open cuts on the body develop</w:t>
      </w:r>
      <w:r w:rsidR="00696A0D">
        <w:rPr>
          <w:rFonts w:ascii="Times New Roman" w:hAnsi="Times New Roman" w:cs="Times New Roman"/>
          <w:bCs/>
        </w:rPr>
        <w:t>.</w:t>
      </w:r>
      <w:r w:rsidR="00696A0D">
        <w:rPr>
          <w:rFonts w:ascii="Times New Roman" w:hAnsi="Times New Roman" w:cs="Times New Roman"/>
          <w:bCs/>
        </w:rPr>
        <w:t xml:space="preserve"> </w:t>
      </w:r>
      <w:r w:rsidR="00696A0D">
        <w:rPr>
          <w:rFonts w:ascii="Times New Roman" w:hAnsi="Times New Roman" w:cs="Times New Roman"/>
          <w:bCs/>
        </w:rPr>
        <w:t>B</w:t>
      </w:r>
      <w:r w:rsidR="00696A0D">
        <w:rPr>
          <w:rFonts w:ascii="Times New Roman" w:hAnsi="Times New Roman" w:cs="Times New Roman"/>
          <w:bCs/>
        </w:rPr>
        <w:t>eing discharged from IE while still on</w:t>
      </w:r>
      <w:r w:rsidR="00696A0D">
        <w:rPr>
          <w:rFonts w:ascii="Times New Roman" w:hAnsi="Times New Roman" w:cs="Times New Roman"/>
          <w:bCs/>
        </w:rPr>
        <w:t xml:space="preserve"> antibiotics increases the risk of IE recurrence </w:t>
      </w:r>
      <w:r w:rsidR="00696A0D" w:rsidRPr="00696A0D">
        <w:rPr>
          <w:rFonts w:ascii="Times New Roman" w:hAnsi="Times New Roman" w:cs="Times New Roman"/>
        </w:rPr>
        <w:t>(St. Luke's Health System, 2025)</w:t>
      </w:r>
      <w:r w:rsidR="00696A0D" w:rsidRPr="00696A0D">
        <w:rPr>
          <w:rFonts w:ascii="Times New Roman" w:hAnsi="Times New Roman" w:cs="Times New Roman"/>
          <w:bCs/>
        </w:rPr>
        <w:t>.</w:t>
      </w:r>
    </w:p>
    <w:p w14:paraId="2B298475" w14:textId="2702914A" w:rsidR="003B59D7" w:rsidRPr="003B59D7" w:rsidRDefault="003B59D7" w:rsidP="00DF6769">
      <w:pPr>
        <w:spacing w:line="480" w:lineRule="auto"/>
        <w:contextualSpacing/>
        <w:jc w:val="center"/>
        <w:rPr>
          <w:rFonts w:ascii="Times New Roman" w:hAnsi="Times New Roman" w:cs="Times New Roman"/>
          <w:bCs/>
        </w:rPr>
      </w:pPr>
      <w:r>
        <w:rPr>
          <w:rFonts w:ascii="Times New Roman" w:hAnsi="Times New Roman" w:cs="Times New Roman"/>
          <w:b/>
        </w:rPr>
        <w:lastRenderedPageBreak/>
        <w:t>References</w:t>
      </w:r>
    </w:p>
    <w:p w14:paraId="1594522F" w14:textId="5BA2B3B0" w:rsidR="008038B1" w:rsidRDefault="008038B1" w:rsidP="008038B1">
      <w:pPr>
        <w:pStyle w:val="NormalWeb"/>
        <w:numPr>
          <w:ilvl w:val="0"/>
          <w:numId w:val="2"/>
        </w:numPr>
        <w:spacing w:line="480" w:lineRule="auto"/>
      </w:pPr>
      <w:r>
        <w:t xml:space="preserve">Bontempi, L., Arabia, G., </w:t>
      </w:r>
      <w:proofErr w:type="spellStart"/>
      <w:r>
        <w:t>Salghetti</w:t>
      </w:r>
      <w:proofErr w:type="spellEnd"/>
      <w:r>
        <w:t xml:space="preserve">, F., Cerini, M., </w:t>
      </w:r>
      <w:proofErr w:type="spellStart"/>
      <w:r>
        <w:t>Dell’Aquila</w:t>
      </w:r>
      <w:proofErr w:type="spellEnd"/>
      <w:r>
        <w:t xml:space="preserve">, A., </w:t>
      </w:r>
      <w:proofErr w:type="spellStart"/>
      <w:r>
        <w:t>Milidoni</w:t>
      </w:r>
      <w:proofErr w:type="spellEnd"/>
      <w:r>
        <w:t xml:space="preserve">, A., Ahmed, A., </w:t>
      </w:r>
      <w:r w:rsidR="001E3F27">
        <w:tab/>
      </w:r>
      <w:r>
        <w:t xml:space="preserve">Cersosimo, A., Giacopelli, D., </w:t>
      </w:r>
      <w:proofErr w:type="spellStart"/>
      <w:r>
        <w:t>Mitacchione</w:t>
      </w:r>
      <w:proofErr w:type="spellEnd"/>
      <w:r>
        <w:t xml:space="preserve">, G., </w:t>
      </w:r>
      <w:proofErr w:type="spellStart"/>
      <w:r>
        <w:t>Raweh</w:t>
      </w:r>
      <w:proofErr w:type="spellEnd"/>
      <w:r>
        <w:t xml:space="preserve">, A., </w:t>
      </w:r>
      <w:proofErr w:type="spellStart"/>
      <w:r>
        <w:t>Muneretto</w:t>
      </w:r>
      <w:proofErr w:type="spellEnd"/>
      <w:r>
        <w:t xml:space="preserve">, C., &amp; </w:t>
      </w:r>
      <w:proofErr w:type="spellStart"/>
      <w:r>
        <w:t>Curnis</w:t>
      </w:r>
      <w:proofErr w:type="spellEnd"/>
      <w:r>
        <w:t xml:space="preserve">, A. </w:t>
      </w:r>
      <w:r w:rsidR="001E3F27">
        <w:tab/>
      </w:r>
      <w:r>
        <w:t xml:space="preserve">(2022). Lead‐related infective endocarditis with vegetations: Prevalence and impact of </w:t>
      </w:r>
      <w:r w:rsidR="001E3F27">
        <w:tab/>
      </w:r>
      <w:r>
        <w:t xml:space="preserve">pulmonary embolism in patients undergoing transvenous lead extraction. </w:t>
      </w:r>
      <w:r>
        <w:rPr>
          <w:i/>
          <w:iCs/>
        </w:rPr>
        <w:t>Journal of</w:t>
      </w:r>
      <w:r w:rsidR="001E3F27">
        <w:rPr>
          <w:i/>
          <w:iCs/>
        </w:rPr>
        <w:tab/>
      </w:r>
      <w:r w:rsidR="001E3F27">
        <w:rPr>
          <w:i/>
          <w:iCs/>
        </w:rPr>
        <w:tab/>
      </w:r>
      <w:r>
        <w:rPr>
          <w:i/>
          <w:iCs/>
        </w:rPr>
        <w:t xml:space="preserve"> Cardiovascular Electrophysiology</w:t>
      </w:r>
      <w:r>
        <w:t xml:space="preserve">, </w:t>
      </w:r>
      <w:r>
        <w:rPr>
          <w:i/>
          <w:iCs/>
        </w:rPr>
        <w:t>33</w:t>
      </w:r>
      <w:r>
        <w:t xml:space="preserve">(10), 2195–2201. </w:t>
      </w:r>
      <w:r w:rsidR="001E3F27">
        <w:tab/>
      </w:r>
      <w:hyperlink r:id="rId7" w:history="1">
        <w:r w:rsidR="001E3F27" w:rsidRPr="00E633C0">
          <w:rPr>
            <w:rStyle w:val="Hyperlink"/>
          </w:rPr>
          <w:t>https://doi.org/10.1111/jce.15625</w:t>
        </w:r>
      </w:hyperlink>
      <w:r>
        <w:t xml:space="preserve"> </w:t>
      </w:r>
    </w:p>
    <w:p w14:paraId="658F89AB" w14:textId="4910C300" w:rsidR="00EF126D" w:rsidRPr="008038B1" w:rsidRDefault="00EF126D" w:rsidP="00EF126D">
      <w:pPr>
        <w:pStyle w:val="NormalWeb"/>
        <w:numPr>
          <w:ilvl w:val="0"/>
          <w:numId w:val="2"/>
        </w:numPr>
        <w:spacing w:line="480" w:lineRule="auto"/>
      </w:pPr>
      <w:r>
        <w:t>Bubar, R., &amp; Stevens, B. (2025). Diagnosis - Whipple’s Endocarditis (</w:t>
      </w:r>
      <w:proofErr w:type="spellStart"/>
      <w:r>
        <w:t>Tropheryma</w:t>
      </w:r>
      <w:proofErr w:type="spellEnd"/>
      <w:r>
        <w:t xml:space="preserve"> </w:t>
      </w:r>
      <w:proofErr w:type="spellStart"/>
      <w:r>
        <w:t>whipplei</w:t>
      </w:r>
      <w:proofErr w:type="spellEnd"/>
      <w:r>
        <w:t xml:space="preserve">). </w:t>
      </w:r>
      <w:r w:rsidR="001E3F27">
        <w:tab/>
      </w:r>
      <w:r>
        <w:t xml:space="preserve">https://www.path.pitt.edu/diagnosis-and-discussion-case-1077 </w:t>
      </w:r>
    </w:p>
    <w:p w14:paraId="5B592EB3" w14:textId="409A31DE" w:rsidR="00CB3F2E" w:rsidRDefault="00CB3F2E" w:rsidP="00CB3F2E">
      <w:pPr>
        <w:pStyle w:val="ListParagraph"/>
        <w:numPr>
          <w:ilvl w:val="0"/>
          <w:numId w:val="2"/>
        </w:numPr>
        <w:spacing w:line="480" w:lineRule="auto"/>
        <w:rPr>
          <w:rFonts w:ascii="Times New Roman" w:hAnsi="Times New Roman" w:cs="Times New Roman"/>
          <w:bCs/>
        </w:rPr>
      </w:pPr>
      <w:proofErr w:type="spellStart"/>
      <w:r w:rsidRPr="00CB3F2E">
        <w:rPr>
          <w:rFonts w:ascii="Times New Roman" w:hAnsi="Times New Roman" w:cs="Times New Roman"/>
          <w:bCs/>
        </w:rPr>
        <w:t>Elsaghir</w:t>
      </w:r>
      <w:proofErr w:type="spellEnd"/>
      <w:r w:rsidRPr="00CB3F2E">
        <w:rPr>
          <w:rFonts w:ascii="Times New Roman" w:hAnsi="Times New Roman" w:cs="Times New Roman"/>
          <w:bCs/>
        </w:rPr>
        <w:t xml:space="preserve">, H. (2023, June 26). </w:t>
      </w:r>
      <w:r w:rsidRPr="00CB3F2E">
        <w:rPr>
          <w:rFonts w:ascii="Times New Roman" w:hAnsi="Times New Roman" w:cs="Times New Roman"/>
          <w:bCs/>
          <w:i/>
          <w:iCs/>
        </w:rPr>
        <w:t>Septic Emboli</w:t>
      </w:r>
      <w:r w:rsidRPr="00CB3F2E">
        <w:rPr>
          <w:rFonts w:ascii="Times New Roman" w:hAnsi="Times New Roman" w:cs="Times New Roman"/>
          <w:bCs/>
        </w:rPr>
        <w:t xml:space="preserve">. </w:t>
      </w:r>
      <w:proofErr w:type="spellStart"/>
      <w:r w:rsidRPr="00CB3F2E">
        <w:rPr>
          <w:rFonts w:ascii="Times New Roman" w:hAnsi="Times New Roman" w:cs="Times New Roman"/>
          <w:bCs/>
        </w:rPr>
        <w:t>StatPearls</w:t>
      </w:r>
      <w:proofErr w:type="spellEnd"/>
      <w:r w:rsidRPr="00CB3F2E">
        <w:rPr>
          <w:rFonts w:ascii="Times New Roman" w:hAnsi="Times New Roman" w:cs="Times New Roman"/>
          <w:bCs/>
        </w:rPr>
        <w:t xml:space="preserve"> [Internet].</w:t>
      </w:r>
      <w:r>
        <w:rPr>
          <w:rFonts w:ascii="Times New Roman" w:hAnsi="Times New Roman" w:cs="Times New Roman"/>
          <w:bCs/>
        </w:rPr>
        <w:t xml:space="preserve"> </w:t>
      </w:r>
      <w:r w:rsidR="001E3F27">
        <w:rPr>
          <w:rFonts w:ascii="Times New Roman" w:hAnsi="Times New Roman" w:cs="Times New Roman"/>
          <w:bCs/>
        </w:rPr>
        <w:tab/>
      </w:r>
      <w:hyperlink r:id="rId8" w:history="1">
        <w:r w:rsidRPr="00CB3F2E">
          <w:rPr>
            <w:rStyle w:val="Hyperlink"/>
            <w:rFonts w:ascii="Times New Roman" w:hAnsi="Times New Roman" w:cs="Times New Roman"/>
            <w:bCs/>
          </w:rPr>
          <w:t>https://www.ncbi.nlm.nih.gov/books/NBK549827/</w:t>
        </w:r>
      </w:hyperlink>
    </w:p>
    <w:p w14:paraId="7A973615" w14:textId="63622CA9" w:rsidR="00CA36F1" w:rsidRDefault="00CA36F1" w:rsidP="009A7005">
      <w:pPr>
        <w:pStyle w:val="NormalWeb"/>
        <w:numPr>
          <w:ilvl w:val="0"/>
          <w:numId w:val="2"/>
        </w:numPr>
        <w:spacing w:line="480" w:lineRule="auto"/>
      </w:pPr>
      <w:r>
        <w:t xml:space="preserve">Health, S. V. H. (2025). </w:t>
      </w:r>
      <w:r>
        <w:rPr>
          <w:i/>
          <w:iCs/>
        </w:rPr>
        <w:t>Home</w:t>
      </w:r>
      <w:r>
        <w:t xml:space="preserve">. St Vincent’s Lung Health. </w:t>
      </w:r>
      <w:r w:rsidR="001E3F27">
        <w:tab/>
      </w:r>
      <w:hyperlink r:id="rId9" w:history="1">
        <w:r w:rsidR="001E3F27" w:rsidRPr="00E633C0">
          <w:rPr>
            <w:rStyle w:val="Hyperlink"/>
          </w:rPr>
          <w:t>https://www.svhlunghealth.com.au/procedures/procedures-treatments/pulmonary-</w:t>
        </w:r>
      </w:hyperlink>
      <w:r w:rsidR="001E3F27">
        <w:tab/>
      </w:r>
      <w:r>
        <w:t>endarterectomy#:~:text=A%20pulmonary%20endarterectomy%20will%20remove,right</w:t>
      </w:r>
      <w:r w:rsidR="001E3F27">
        <w:tab/>
      </w:r>
      <w:r>
        <w:t xml:space="preserve">%20side%20of%20the%20heart. </w:t>
      </w:r>
    </w:p>
    <w:p w14:paraId="546BB243" w14:textId="792E914F" w:rsidR="00457149" w:rsidRPr="00CA36F1" w:rsidRDefault="00457149" w:rsidP="00457149">
      <w:pPr>
        <w:pStyle w:val="NormalWeb"/>
        <w:numPr>
          <w:ilvl w:val="0"/>
          <w:numId w:val="2"/>
        </w:numPr>
        <w:spacing w:line="480" w:lineRule="auto"/>
      </w:pPr>
      <w:proofErr w:type="spellStart"/>
      <w:r>
        <w:t>Ilhão</w:t>
      </w:r>
      <w:proofErr w:type="spellEnd"/>
      <w:r>
        <w:t xml:space="preserve"> Moreira, R., Coutinho Cruz, M., Moura Branco, L., </w:t>
      </w:r>
      <w:proofErr w:type="spellStart"/>
      <w:r>
        <w:t>Galrinho</w:t>
      </w:r>
      <w:proofErr w:type="spellEnd"/>
      <w:r>
        <w:t xml:space="preserve">, A., Coutinho Miranda, </w:t>
      </w:r>
      <w:r w:rsidR="001E3F27">
        <w:tab/>
      </w:r>
      <w:r>
        <w:t xml:space="preserve">L., Fragata, J., &amp; Cruz Ferreira, R. (2018). Infective endocarditis: Surgical Management </w:t>
      </w:r>
      <w:r w:rsidR="001E3F27">
        <w:tab/>
      </w:r>
      <w:r>
        <w:t xml:space="preserve">and prognostic predictors. </w:t>
      </w:r>
      <w:proofErr w:type="spellStart"/>
      <w:r>
        <w:rPr>
          <w:i/>
          <w:iCs/>
        </w:rPr>
        <w:t>Revista</w:t>
      </w:r>
      <w:proofErr w:type="spellEnd"/>
      <w:r>
        <w:rPr>
          <w:i/>
          <w:iCs/>
        </w:rPr>
        <w:t xml:space="preserve"> Portuguesa de </w:t>
      </w:r>
      <w:proofErr w:type="spellStart"/>
      <w:r>
        <w:rPr>
          <w:i/>
          <w:iCs/>
        </w:rPr>
        <w:t>Cardiologia</w:t>
      </w:r>
      <w:proofErr w:type="spellEnd"/>
      <w:r>
        <w:rPr>
          <w:i/>
          <w:iCs/>
        </w:rPr>
        <w:t xml:space="preserve"> (English Edition)</w:t>
      </w:r>
      <w:r>
        <w:t xml:space="preserve">, </w:t>
      </w:r>
      <w:r>
        <w:rPr>
          <w:i/>
          <w:iCs/>
        </w:rPr>
        <w:t>37</w:t>
      </w:r>
      <w:r>
        <w:t xml:space="preserve">(5), </w:t>
      </w:r>
      <w:r w:rsidR="001E3F27">
        <w:tab/>
      </w:r>
      <w:r>
        <w:t xml:space="preserve">387–394. https://doi.org/10.1016/j.repce.2017.08.007 </w:t>
      </w:r>
    </w:p>
    <w:p w14:paraId="176C5F5D" w14:textId="0325C73D" w:rsidR="00504129" w:rsidRDefault="00504129" w:rsidP="00504129">
      <w:pPr>
        <w:pStyle w:val="ListParagraph"/>
        <w:numPr>
          <w:ilvl w:val="0"/>
          <w:numId w:val="2"/>
        </w:numPr>
        <w:spacing w:line="480" w:lineRule="auto"/>
        <w:rPr>
          <w:rFonts w:ascii="Times New Roman" w:hAnsi="Times New Roman" w:cs="Times New Roman"/>
          <w:bCs/>
        </w:rPr>
      </w:pPr>
      <w:r w:rsidRPr="00504129">
        <w:rPr>
          <w:rFonts w:ascii="Times New Roman" w:hAnsi="Times New Roman" w:cs="Times New Roman"/>
          <w:bCs/>
        </w:rPr>
        <w:t xml:space="preserve">Norris, T. L., &amp; Tuan, R. L. (2020). </w:t>
      </w:r>
      <w:r w:rsidRPr="00504129">
        <w:rPr>
          <w:rFonts w:ascii="Times New Roman" w:hAnsi="Times New Roman" w:cs="Times New Roman"/>
          <w:bCs/>
          <w:i/>
          <w:iCs/>
        </w:rPr>
        <w:t>Porth’s Essentials of Pathophysiology</w:t>
      </w:r>
      <w:r w:rsidRPr="00504129">
        <w:rPr>
          <w:rFonts w:ascii="Times New Roman" w:hAnsi="Times New Roman" w:cs="Times New Roman"/>
          <w:bCs/>
        </w:rPr>
        <w:t>. Wolters Kluwer.</w:t>
      </w:r>
    </w:p>
    <w:p w14:paraId="1FE92B07" w14:textId="3E0D5950" w:rsidR="00937238" w:rsidRDefault="00937238" w:rsidP="00937238">
      <w:pPr>
        <w:pStyle w:val="NormalWeb"/>
        <w:numPr>
          <w:ilvl w:val="0"/>
          <w:numId w:val="2"/>
        </w:numPr>
        <w:spacing w:line="480" w:lineRule="auto"/>
      </w:pPr>
      <w:r>
        <w:t xml:space="preserve">Oliveira, C. J., José, H. M., &amp; Costa, E. I. (2024). Medication adherence in adults with </w:t>
      </w:r>
      <w:r w:rsidR="001E3F27">
        <w:tab/>
      </w:r>
      <w:r>
        <w:t xml:space="preserve">chronic diseases in Primary Healthcare: A quality improvement project. </w:t>
      </w:r>
      <w:r>
        <w:rPr>
          <w:i/>
          <w:iCs/>
        </w:rPr>
        <w:t>Nursing Reports</w:t>
      </w:r>
      <w:r>
        <w:t xml:space="preserve">, </w:t>
      </w:r>
      <w:r w:rsidR="001E3F27">
        <w:tab/>
      </w:r>
      <w:r>
        <w:rPr>
          <w:i/>
          <w:iCs/>
        </w:rPr>
        <w:t>14</w:t>
      </w:r>
      <w:r>
        <w:t xml:space="preserve">(3), 1735–1749. </w:t>
      </w:r>
      <w:hyperlink r:id="rId10" w:history="1">
        <w:r w:rsidRPr="00E633C0">
          <w:rPr>
            <w:rStyle w:val="Hyperlink"/>
          </w:rPr>
          <w:t>https://doi.org/10.3390/nursrep14030129</w:t>
        </w:r>
      </w:hyperlink>
      <w:r>
        <w:t xml:space="preserve"> </w:t>
      </w:r>
    </w:p>
    <w:p w14:paraId="5337DD45" w14:textId="6ED8CFEC" w:rsidR="00937238" w:rsidRDefault="00937238" w:rsidP="00937238">
      <w:pPr>
        <w:pStyle w:val="NormalWeb"/>
        <w:numPr>
          <w:ilvl w:val="0"/>
          <w:numId w:val="2"/>
        </w:numPr>
        <w:spacing w:line="480" w:lineRule="auto"/>
      </w:pPr>
      <w:r>
        <w:lastRenderedPageBreak/>
        <w:t xml:space="preserve">Sharma, B., Arora, A., Singh, K., Singh, H., &amp; Kaur, P. (2017). Drug abuse: Uncovering the </w:t>
      </w:r>
      <w:r w:rsidR="001E3F27">
        <w:tab/>
      </w:r>
      <w:r>
        <w:t xml:space="preserve">burden in rural Punjab. </w:t>
      </w:r>
      <w:r>
        <w:rPr>
          <w:i/>
          <w:iCs/>
        </w:rPr>
        <w:t>Journal of Family Medicine and Primary Care</w:t>
      </w:r>
      <w:r>
        <w:t xml:space="preserve">, </w:t>
      </w:r>
      <w:r>
        <w:rPr>
          <w:i/>
          <w:iCs/>
        </w:rPr>
        <w:t>6</w:t>
      </w:r>
      <w:r>
        <w:t xml:space="preserve">(3), 558. </w:t>
      </w:r>
      <w:r w:rsidR="001E3F27">
        <w:tab/>
      </w:r>
      <w:r>
        <w:t xml:space="preserve">https://doi.org/10.4103/2249-4863.222037 </w:t>
      </w:r>
    </w:p>
    <w:p w14:paraId="1A2EC364" w14:textId="5D13A898" w:rsidR="00937238" w:rsidRPr="00937238" w:rsidRDefault="00937238" w:rsidP="00937238">
      <w:pPr>
        <w:pStyle w:val="NormalWeb"/>
        <w:numPr>
          <w:ilvl w:val="0"/>
          <w:numId w:val="2"/>
        </w:numPr>
        <w:spacing w:line="480" w:lineRule="auto"/>
      </w:pPr>
      <w:r>
        <w:t xml:space="preserve">St. Luke’s Health System. (2025). </w:t>
      </w:r>
      <w:r>
        <w:rPr>
          <w:i/>
          <w:iCs/>
        </w:rPr>
        <w:t>Discharge instructions for infective endocarditis (IE)</w:t>
      </w:r>
      <w:r>
        <w:t xml:space="preserve">. </w:t>
      </w:r>
      <w:r w:rsidR="001E3F27">
        <w:tab/>
      </w:r>
      <w:r>
        <w:t xml:space="preserve">Saint Luke’s Health System. </w:t>
      </w:r>
      <w:hyperlink r:id="rId11" w:history="1">
        <w:r w:rsidR="001E3F27" w:rsidRPr="00E633C0">
          <w:rPr>
            <w:rStyle w:val="Hyperlink"/>
          </w:rPr>
          <w:t>https://www.saintlukeskc.org/health-library/discharge-</w:t>
        </w:r>
      </w:hyperlink>
      <w:r w:rsidR="001E3F27">
        <w:tab/>
      </w:r>
      <w:r>
        <w:t>instructions-infective-endocarditis-</w:t>
      </w:r>
      <w:proofErr w:type="spellStart"/>
      <w:r>
        <w:t>ie</w:t>
      </w:r>
      <w:proofErr w:type="spellEnd"/>
      <w:r>
        <w:t xml:space="preserve"> </w:t>
      </w:r>
    </w:p>
    <w:p w14:paraId="29793D5B" w14:textId="5637C53B" w:rsidR="003456D7" w:rsidRPr="003456D7" w:rsidRDefault="003456D7" w:rsidP="003456D7">
      <w:pPr>
        <w:pStyle w:val="ListParagraph"/>
        <w:numPr>
          <w:ilvl w:val="0"/>
          <w:numId w:val="2"/>
        </w:numPr>
        <w:spacing w:line="480" w:lineRule="auto"/>
        <w:rPr>
          <w:rFonts w:ascii="Times New Roman" w:hAnsi="Times New Roman" w:cs="Times New Roman"/>
          <w:bCs/>
        </w:rPr>
      </w:pPr>
      <w:r w:rsidRPr="003456D7">
        <w:rPr>
          <w:rFonts w:ascii="Times New Roman" w:hAnsi="Times New Roman" w:cs="Times New Roman"/>
          <w:bCs/>
        </w:rPr>
        <w:t xml:space="preserve">Tackling, G. (2023, April 10). </w:t>
      </w:r>
      <w:r w:rsidRPr="003456D7">
        <w:rPr>
          <w:rFonts w:ascii="Times New Roman" w:hAnsi="Times New Roman" w:cs="Times New Roman"/>
          <w:bCs/>
          <w:i/>
          <w:iCs/>
        </w:rPr>
        <w:t>Endocarditis antibiotic regimens</w:t>
      </w:r>
      <w:r w:rsidRPr="003456D7">
        <w:rPr>
          <w:rFonts w:ascii="Times New Roman" w:hAnsi="Times New Roman" w:cs="Times New Roman"/>
          <w:bCs/>
        </w:rPr>
        <w:t xml:space="preserve">. </w:t>
      </w:r>
      <w:proofErr w:type="spellStart"/>
      <w:r w:rsidRPr="003456D7">
        <w:rPr>
          <w:rFonts w:ascii="Times New Roman" w:hAnsi="Times New Roman" w:cs="Times New Roman"/>
          <w:bCs/>
        </w:rPr>
        <w:t>StatPearls</w:t>
      </w:r>
      <w:proofErr w:type="spellEnd"/>
      <w:r w:rsidRPr="003456D7">
        <w:rPr>
          <w:rFonts w:ascii="Times New Roman" w:hAnsi="Times New Roman" w:cs="Times New Roman"/>
          <w:bCs/>
        </w:rPr>
        <w:t xml:space="preserve"> [Internet]. </w:t>
      </w:r>
      <w:r w:rsidR="001E3F27">
        <w:rPr>
          <w:rFonts w:ascii="Times New Roman" w:hAnsi="Times New Roman" w:cs="Times New Roman"/>
          <w:bCs/>
        </w:rPr>
        <w:tab/>
      </w:r>
      <w:r w:rsidRPr="003456D7">
        <w:rPr>
          <w:rFonts w:ascii="Times New Roman" w:hAnsi="Times New Roman" w:cs="Times New Roman"/>
          <w:bCs/>
        </w:rPr>
        <w:t>https://www.ncbi.nlm.nih.gov/books/NBK542162/</w:t>
      </w:r>
    </w:p>
    <w:p w14:paraId="49B7B3D1" w14:textId="77777777" w:rsidR="00504129" w:rsidRPr="00504129" w:rsidRDefault="00504129" w:rsidP="003456D7">
      <w:pPr>
        <w:pStyle w:val="ListParagraph"/>
        <w:spacing w:line="480" w:lineRule="auto"/>
        <w:ind w:left="360"/>
        <w:rPr>
          <w:rFonts w:ascii="Times New Roman" w:hAnsi="Times New Roman" w:cs="Times New Roman"/>
          <w:bCs/>
        </w:rPr>
      </w:pPr>
    </w:p>
    <w:p w14:paraId="4209BE78" w14:textId="77777777" w:rsidR="00DF6769" w:rsidRPr="00504129" w:rsidRDefault="00DF6769" w:rsidP="00504129">
      <w:pPr>
        <w:pStyle w:val="ListParagraph"/>
        <w:spacing w:line="480" w:lineRule="auto"/>
        <w:ind w:left="360"/>
        <w:rPr>
          <w:rFonts w:ascii="Times New Roman" w:hAnsi="Times New Roman" w:cs="Times New Roman"/>
          <w:b/>
        </w:rPr>
      </w:pPr>
    </w:p>
    <w:p w14:paraId="57C96CC0" w14:textId="77777777" w:rsidR="00DF6769" w:rsidRPr="00DF6769" w:rsidRDefault="00DF6769" w:rsidP="00DF6769">
      <w:pPr>
        <w:spacing w:line="480" w:lineRule="auto"/>
        <w:contextualSpacing/>
        <w:jc w:val="center"/>
        <w:rPr>
          <w:rFonts w:ascii="Times New Roman" w:hAnsi="Times New Roman" w:cs="Times New Roman"/>
          <w:b/>
        </w:rPr>
      </w:pPr>
    </w:p>
    <w:p w14:paraId="7C42FF11" w14:textId="77777777" w:rsidR="009F57A9" w:rsidRPr="009F57A9" w:rsidRDefault="009F57A9" w:rsidP="0048293A">
      <w:pPr>
        <w:spacing w:line="480" w:lineRule="auto"/>
        <w:contextualSpacing/>
        <w:rPr>
          <w:rFonts w:ascii="Times New Roman" w:hAnsi="Times New Roman" w:cs="Times New Roman"/>
          <w:b/>
        </w:rPr>
      </w:pPr>
    </w:p>
    <w:sectPr w:rsidR="009F57A9" w:rsidRPr="009F57A9" w:rsidSect="009211C2">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C2AD" w14:textId="77777777" w:rsidR="00D67940" w:rsidRDefault="00D67940" w:rsidP="00F25348">
      <w:r>
        <w:separator/>
      </w:r>
    </w:p>
  </w:endnote>
  <w:endnote w:type="continuationSeparator" w:id="0">
    <w:p w14:paraId="228A06EF" w14:textId="77777777" w:rsidR="00D67940" w:rsidRDefault="00D67940" w:rsidP="00F2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2304" w14:textId="77777777" w:rsidR="00D67940" w:rsidRDefault="00D67940" w:rsidP="00F25348">
      <w:r>
        <w:separator/>
      </w:r>
    </w:p>
  </w:footnote>
  <w:footnote w:type="continuationSeparator" w:id="0">
    <w:p w14:paraId="32AD6AE6" w14:textId="77777777" w:rsidR="00D67940" w:rsidRDefault="00D67940" w:rsidP="00F2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453454"/>
      <w:docPartObj>
        <w:docPartGallery w:val="Page Numbers (Top of Page)"/>
        <w:docPartUnique/>
      </w:docPartObj>
    </w:sdtPr>
    <w:sdtContent>
      <w:p w14:paraId="4879FA3D" w14:textId="77777777" w:rsidR="00F25348" w:rsidRDefault="00F25348" w:rsidP="008B06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81DA31" w14:textId="77777777" w:rsidR="00F25348" w:rsidRDefault="00F25348" w:rsidP="00F253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700933900"/>
      <w:docPartObj>
        <w:docPartGallery w:val="Page Numbers (Top of Page)"/>
        <w:docPartUnique/>
      </w:docPartObj>
    </w:sdtPr>
    <w:sdtContent>
      <w:p w14:paraId="31B91E01" w14:textId="77777777" w:rsidR="00F25348" w:rsidRPr="00F25348" w:rsidRDefault="00F25348" w:rsidP="008B0614">
        <w:pPr>
          <w:pStyle w:val="Header"/>
          <w:framePr w:wrap="none" w:vAnchor="text" w:hAnchor="margin" w:xAlign="right" w:y="1"/>
          <w:rPr>
            <w:rStyle w:val="PageNumber"/>
            <w:rFonts w:ascii="Times New Roman" w:hAnsi="Times New Roman" w:cs="Times New Roman"/>
          </w:rPr>
        </w:pPr>
        <w:r w:rsidRPr="00F25348">
          <w:rPr>
            <w:rStyle w:val="PageNumber"/>
            <w:rFonts w:ascii="Times New Roman" w:hAnsi="Times New Roman" w:cs="Times New Roman"/>
          </w:rPr>
          <w:fldChar w:fldCharType="begin"/>
        </w:r>
        <w:r w:rsidRPr="00F25348">
          <w:rPr>
            <w:rStyle w:val="PageNumber"/>
            <w:rFonts w:ascii="Times New Roman" w:hAnsi="Times New Roman" w:cs="Times New Roman"/>
          </w:rPr>
          <w:instrText xml:space="preserve"> PAGE </w:instrText>
        </w:r>
        <w:r w:rsidRPr="00F25348">
          <w:rPr>
            <w:rStyle w:val="PageNumber"/>
            <w:rFonts w:ascii="Times New Roman" w:hAnsi="Times New Roman" w:cs="Times New Roman"/>
          </w:rPr>
          <w:fldChar w:fldCharType="separate"/>
        </w:r>
        <w:r w:rsidRPr="00F25348">
          <w:rPr>
            <w:rStyle w:val="PageNumber"/>
            <w:rFonts w:ascii="Times New Roman" w:hAnsi="Times New Roman" w:cs="Times New Roman"/>
            <w:noProof/>
          </w:rPr>
          <w:t>1</w:t>
        </w:r>
        <w:r w:rsidRPr="00F25348">
          <w:rPr>
            <w:rStyle w:val="PageNumber"/>
            <w:rFonts w:ascii="Times New Roman" w:hAnsi="Times New Roman" w:cs="Times New Roman"/>
          </w:rPr>
          <w:fldChar w:fldCharType="end"/>
        </w:r>
      </w:p>
    </w:sdtContent>
  </w:sdt>
  <w:p w14:paraId="25C0E72E" w14:textId="368D911E" w:rsidR="00F25348" w:rsidRPr="00723B94" w:rsidRDefault="00723B94" w:rsidP="00F25348">
    <w:pPr>
      <w:pStyle w:val="Header"/>
      <w:ind w:right="360"/>
      <w:rPr>
        <w:rFonts w:ascii="Times New Roman" w:hAnsi="Times New Roman" w:cs="Times New Roman"/>
      </w:rPr>
    </w:pPr>
    <w:r>
      <w:rPr>
        <w:rFonts w:ascii="Times New Roman" w:hAnsi="Times New Roman" w:cs="Times New Roman"/>
      </w:rPr>
      <w:t>Running head</w:t>
    </w:r>
    <w:r w:rsidR="008F6BBD">
      <w:rPr>
        <w:rFonts w:ascii="Times New Roman" w:hAnsi="Times New Roman" w:cs="Times New Roman"/>
      </w:rPr>
      <w:t>: Ellene White – A Pathophysiologic 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2A2E5D"/>
    <w:multiLevelType w:val="hybridMultilevel"/>
    <w:tmpl w:val="A6C66BA4"/>
    <w:lvl w:ilvl="0" w:tplc="DA2A1F2C">
      <w:start w:val="1"/>
      <w:numFmt w:val="bullet"/>
      <w:lvlText w:val="•"/>
      <w:lvlJc w:val="left"/>
      <w:pPr>
        <w:tabs>
          <w:tab w:val="num" w:pos="720"/>
        </w:tabs>
        <w:ind w:left="720" w:hanging="360"/>
      </w:pPr>
      <w:rPr>
        <w:rFonts w:ascii="Times New Roman" w:hAnsi="Times New Roman" w:hint="default"/>
      </w:rPr>
    </w:lvl>
    <w:lvl w:ilvl="1" w:tplc="3FBED1A8" w:tentative="1">
      <w:start w:val="1"/>
      <w:numFmt w:val="bullet"/>
      <w:lvlText w:val="•"/>
      <w:lvlJc w:val="left"/>
      <w:pPr>
        <w:tabs>
          <w:tab w:val="num" w:pos="1440"/>
        </w:tabs>
        <w:ind w:left="1440" w:hanging="360"/>
      </w:pPr>
      <w:rPr>
        <w:rFonts w:ascii="Times New Roman" w:hAnsi="Times New Roman" w:hint="default"/>
      </w:rPr>
    </w:lvl>
    <w:lvl w:ilvl="2" w:tplc="9FE22F6A" w:tentative="1">
      <w:start w:val="1"/>
      <w:numFmt w:val="bullet"/>
      <w:lvlText w:val="•"/>
      <w:lvlJc w:val="left"/>
      <w:pPr>
        <w:tabs>
          <w:tab w:val="num" w:pos="2160"/>
        </w:tabs>
        <w:ind w:left="2160" w:hanging="360"/>
      </w:pPr>
      <w:rPr>
        <w:rFonts w:ascii="Times New Roman" w:hAnsi="Times New Roman" w:hint="default"/>
      </w:rPr>
    </w:lvl>
    <w:lvl w:ilvl="3" w:tplc="720EEE1E" w:tentative="1">
      <w:start w:val="1"/>
      <w:numFmt w:val="bullet"/>
      <w:lvlText w:val="•"/>
      <w:lvlJc w:val="left"/>
      <w:pPr>
        <w:tabs>
          <w:tab w:val="num" w:pos="2880"/>
        </w:tabs>
        <w:ind w:left="2880" w:hanging="360"/>
      </w:pPr>
      <w:rPr>
        <w:rFonts w:ascii="Times New Roman" w:hAnsi="Times New Roman" w:hint="default"/>
      </w:rPr>
    </w:lvl>
    <w:lvl w:ilvl="4" w:tplc="811A2CEA" w:tentative="1">
      <w:start w:val="1"/>
      <w:numFmt w:val="bullet"/>
      <w:lvlText w:val="•"/>
      <w:lvlJc w:val="left"/>
      <w:pPr>
        <w:tabs>
          <w:tab w:val="num" w:pos="3600"/>
        </w:tabs>
        <w:ind w:left="3600" w:hanging="360"/>
      </w:pPr>
      <w:rPr>
        <w:rFonts w:ascii="Times New Roman" w:hAnsi="Times New Roman" w:hint="default"/>
      </w:rPr>
    </w:lvl>
    <w:lvl w:ilvl="5" w:tplc="8F1C9926" w:tentative="1">
      <w:start w:val="1"/>
      <w:numFmt w:val="bullet"/>
      <w:lvlText w:val="•"/>
      <w:lvlJc w:val="left"/>
      <w:pPr>
        <w:tabs>
          <w:tab w:val="num" w:pos="4320"/>
        </w:tabs>
        <w:ind w:left="4320" w:hanging="360"/>
      </w:pPr>
      <w:rPr>
        <w:rFonts w:ascii="Times New Roman" w:hAnsi="Times New Roman" w:hint="default"/>
      </w:rPr>
    </w:lvl>
    <w:lvl w:ilvl="6" w:tplc="ABF6B2AE" w:tentative="1">
      <w:start w:val="1"/>
      <w:numFmt w:val="bullet"/>
      <w:lvlText w:val="•"/>
      <w:lvlJc w:val="left"/>
      <w:pPr>
        <w:tabs>
          <w:tab w:val="num" w:pos="5040"/>
        </w:tabs>
        <w:ind w:left="5040" w:hanging="360"/>
      </w:pPr>
      <w:rPr>
        <w:rFonts w:ascii="Times New Roman" w:hAnsi="Times New Roman" w:hint="default"/>
      </w:rPr>
    </w:lvl>
    <w:lvl w:ilvl="7" w:tplc="747C4736" w:tentative="1">
      <w:start w:val="1"/>
      <w:numFmt w:val="bullet"/>
      <w:lvlText w:val="•"/>
      <w:lvlJc w:val="left"/>
      <w:pPr>
        <w:tabs>
          <w:tab w:val="num" w:pos="5760"/>
        </w:tabs>
        <w:ind w:left="5760" w:hanging="360"/>
      </w:pPr>
      <w:rPr>
        <w:rFonts w:ascii="Times New Roman" w:hAnsi="Times New Roman" w:hint="default"/>
      </w:rPr>
    </w:lvl>
    <w:lvl w:ilvl="8" w:tplc="376CAD4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2FC58CE"/>
    <w:multiLevelType w:val="hybridMultilevel"/>
    <w:tmpl w:val="36E687FE"/>
    <w:lvl w:ilvl="0" w:tplc="846A6ACC">
      <w:start w:val="1"/>
      <w:numFmt w:val="bullet"/>
      <w:lvlText w:val="•"/>
      <w:lvlJc w:val="left"/>
      <w:pPr>
        <w:tabs>
          <w:tab w:val="num" w:pos="720"/>
        </w:tabs>
        <w:ind w:left="720" w:hanging="360"/>
      </w:pPr>
      <w:rPr>
        <w:rFonts w:ascii="Arial" w:hAnsi="Arial" w:hint="default"/>
      </w:rPr>
    </w:lvl>
    <w:lvl w:ilvl="1" w:tplc="AF36365A" w:tentative="1">
      <w:start w:val="1"/>
      <w:numFmt w:val="bullet"/>
      <w:lvlText w:val="•"/>
      <w:lvlJc w:val="left"/>
      <w:pPr>
        <w:tabs>
          <w:tab w:val="num" w:pos="1440"/>
        </w:tabs>
        <w:ind w:left="1440" w:hanging="360"/>
      </w:pPr>
      <w:rPr>
        <w:rFonts w:ascii="Arial" w:hAnsi="Arial" w:hint="default"/>
      </w:rPr>
    </w:lvl>
    <w:lvl w:ilvl="2" w:tplc="789C8B68" w:tentative="1">
      <w:start w:val="1"/>
      <w:numFmt w:val="bullet"/>
      <w:lvlText w:val="•"/>
      <w:lvlJc w:val="left"/>
      <w:pPr>
        <w:tabs>
          <w:tab w:val="num" w:pos="2160"/>
        </w:tabs>
        <w:ind w:left="2160" w:hanging="360"/>
      </w:pPr>
      <w:rPr>
        <w:rFonts w:ascii="Arial" w:hAnsi="Arial" w:hint="default"/>
      </w:rPr>
    </w:lvl>
    <w:lvl w:ilvl="3" w:tplc="9FCAADD2" w:tentative="1">
      <w:start w:val="1"/>
      <w:numFmt w:val="bullet"/>
      <w:lvlText w:val="•"/>
      <w:lvlJc w:val="left"/>
      <w:pPr>
        <w:tabs>
          <w:tab w:val="num" w:pos="2880"/>
        </w:tabs>
        <w:ind w:left="2880" w:hanging="360"/>
      </w:pPr>
      <w:rPr>
        <w:rFonts w:ascii="Arial" w:hAnsi="Arial" w:hint="default"/>
      </w:rPr>
    </w:lvl>
    <w:lvl w:ilvl="4" w:tplc="D36C754C" w:tentative="1">
      <w:start w:val="1"/>
      <w:numFmt w:val="bullet"/>
      <w:lvlText w:val="•"/>
      <w:lvlJc w:val="left"/>
      <w:pPr>
        <w:tabs>
          <w:tab w:val="num" w:pos="3600"/>
        </w:tabs>
        <w:ind w:left="3600" w:hanging="360"/>
      </w:pPr>
      <w:rPr>
        <w:rFonts w:ascii="Arial" w:hAnsi="Arial" w:hint="default"/>
      </w:rPr>
    </w:lvl>
    <w:lvl w:ilvl="5" w:tplc="49E8D9D4" w:tentative="1">
      <w:start w:val="1"/>
      <w:numFmt w:val="bullet"/>
      <w:lvlText w:val="•"/>
      <w:lvlJc w:val="left"/>
      <w:pPr>
        <w:tabs>
          <w:tab w:val="num" w:pos="4320"/>
        </w:tabs>
        <w:ind w:left="4320" w:hanging="360"/>
      </w:pPr>
      <w:rPr>
        <w:rFonts w:ascii="Arial" w:hAnsi="Arial" w:hint="default"/>
      </w:rPr>
    </w:lvl>
    <w:lvl w:ilvl="6" w:tplc="36F490FC" w:tentative="1">
      <w:start w:val="1"/>
      <w:numFmt w:val="bullet"/>
      <w:lvlText w:val="•"/>
      <w:lvlJc w:val="left"/>
      <w:pPr>
        <w:tabs>
          <w:tab w:val="num" w:pos="5040"/>
        </w:tabs>
        <w:ind w:left="5040" w:hanging="360"/>
      </w:pPr>
      <w:rPr>
        <w:rFonts w:ascii="Arial" w:hAnsi="Arial" w:hint="default"/>
      </w:rPr>
    </w:lvl>
    <w:lvl w:ilvl="7" w:tplc="7706A656" w:tentative="1">
      <w:start w:val="1"/>
      <w:numFmt w:val="bullet"/>
      <w:lvlText w:val="•"/>
      <w:lvlJc w:val="left"/>
      <w:pPr>
        <w:tabs>
          <w:tab w:val="num" w:pos="5760"/>
        </w:tabs>
        <w:ind w:left="5760" w:hanging="360"/>
      </w:pPr>
      <w:rPr>
        <w:rFonts w:ascii="Arial" w:hAnsi="Arial" w:hint="default"/>
      </w:rPr>
    </w:lvl>
    <w:lvl w:ilvl="8" w:tplc="E4481D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4921AC"/>
    <w:multiLevelType w:val="hybridMultilevel"/>
    <w:tmpl w:val="D7E8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08377F"/>
    <w:multiLevelType w:val="hybridMultilevel"/>
    <w:tmpl w:val="658C2758"/>
    <w:lvl w:ilvl="0" w:tplc="C55C0CF8">
      <w:start w:val="1"/>
      <w:numFmt w:val="bullet"/>
      <w:lvlText w:val="•"/>
      <w:lvlJc w:val="left"/>
      <w:pPr>
        <w:tabs>
          <w:tab w:val="num" w:pos="720"/>
        </w:tabs>
        <w:ind w:left="720" w:hanging="360"/>
      </w:pPr>
      <w:rPr>
        <w:rFonts w:ascii="Arial" w:hAnsi="Arial" w:hint="default"/>
      </w:rPr>
    </w:lvl>
    <w:lvl w:ilvl="1" w:tplc="C3FE94E4" w:tentative="1">
      <w:start w:val="1"/>
      <w:numFmt w:val="bullet"/>
      <w:lvlText w:val="•"/>
      <w:lvlJc w:val="left"/>
      <w:pPr>
        <w:tabs>
          <w:tab w:val="num" w:pos="1440"/>
        </w:tabs>
        <w:ind w:left="1440" w:hanging="360"/>
      </w:pPr>
      <w:rPr>
        <w:rFonts w:ascii="Arial" w:hAnsi="Arial" w:hint="default"/>
      </w:rPr>
    </w:lvl>
    <w:lvl w:ilvl="2" w:tplc="98741C04" w:tentative="1">
      <w:start w:val="1"/>
      <w:numFmt w:val="bullet"/>
      <w:lvlText w:val="•"/>
      <w:lvlJc w:val="left"/>
      <w:pPr>
        <w:tabs>
          <w:tab w:val="num" w:pos="2160"/>
        </w:tabs>
        <w:ind w:left="2160" w:hanging="360"/>
      </w:pPr>
      <w:rPr>
        <w:rFonts w:ascii="Arial" w:hAnsi="Arial" w:hint="default"/>
      </w:rPr>
    </w:lvl>
    <w:lvl w:ilvl="3" w:tplc="21307E72" w:tentative="1">
      <w:start w:val="1"/>
      <w:numFmt w:val="bullet"/>
      <w:lvlText w:val="•"/>
      <w:lvlJc w:val="left"/>
      <w:pPr>
        <w:tabs>
          <w:tab w:val="num" w:pos="2880"/>
        </w:tabs>
        <w:ind w:left="2880" w:hanging="360"/>
      </w:pPr>
      <w:rPr>
        <w:rFonts w:ascii="Arial" w:hAnsi="Arial" w:hint="default"/>
      </w:rPr>
    </w:lvl>
    <w:lvl w:ilvl="4" w:tplc="3A9AABAE" w:tentative="1">
      <w:start w:val="1"/>
      <w:numFmt w:val="bullet"/>
      <w:lvlText w:val="•"/>
      <w:lvlJc w:val="left"/>
      <w:pPr>
        <w:tabs>
          <w:tab w:val="num" w:pos="3600"/>
        </w:tabs>
        <w:ind w:left="3600" w:hanging="360"/>
      </w:pPr>
      <w:rPr>
        <w:rFonts w:ascii="Arial" w:hAnsi="Arial" w:hint="default"/>
      </w:rPr>
    </w:lvl>
    <w:lvl w:ilvl="5" w:tplc="C360BC3C" w:tentative="1">
      <w:start w:val="1"/>
      <w:numFmt w:val="bullet"/>
      <w:lvlText w:val="•"/>
      <w:lvlJc w:val="left"/>
      <w:pPr>
        <w:tabs>
          <w:tab w:val="num" w:pos="4320"/>
        </w:tabs>
        <w:ind w:left="4320" w:hanging="360"/>
      </w:pPr>
      <w:rPr>
        <w:rFonts w:ascii="Arial" w:hAnsi="Arial" w:hint="default"/>
      </w:rPr>
    </w:lvl>
    <w:lvl w:ilvl="6" w:tplc="BEE01AA4" w:tentative="1">
      <w:start w:val="1"/>
      <w:numFmt w:val="bullet"/>
      <w:lvlText w:val="•"/>
      <w:lvlJc w:val="left"/>
      <w:pPr>
        <w:tabs>
          <w:tab w:val="num" w:pos="5040"/>
        </w:tabs>
        <w:ind w:left="5040" w:hanging="360"/>
      </w:pPr>
      <w:rPr>
        <w:rFonts w:ascii="Arial" w:hAnsi="Arial" w:hint="default"/>
      </w:rPr>
    </w:lvl>
    <w:lvl w:ilvl="7" w:tplc="62526D58" w:tentative="1">
      <w:start w:val="1"/>
      <w:numFmt w:val="bullet"/>
      <w:lvlText w:val="•"/>
      <w:lvlJc w:val="left"/>
      <w:pPr>
        <w:tabs>
          <w:tab w:val="num" w:pos="5760"/>
        </w:tabs>
        <w:ind w:left="5760" w:hanging="360"/>
      </w:pPr>
      <w:rPr>
        <w:rFonts w:ascii="Arial" w:hAnsi="Arial" w:hint="default"/>
      </w:rPr>
    </w:lvl>
    <w:lvl w:ilvl="8" w:tplc="2C2845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8278C8"/>
    <w:multiLevelType w:val="hybridMultilevel"/>
    <w:tmpl w:val="9FE803D4"/>
    <w:lvl w:ilvl="0" w:tplc="303CD4A6">
      <w:start w:val="1"/>
      <w:numFmt w:val="bullet"/>
      <w:lvlText w:val="•"/>
      <w:lvlJc w:val="left"/>
      <w:pPr>
        <w:tabs>
          <w:tab w:val="num" w:pos="720"/>
        </w:tabs>
        <w:ind w:left="720" w:hanging="360"/>
      </w:pPr>
      <w:rPr>
        <w:rFonts w:ascii="Times New Roman" w:hAnsi="Times New Roman" w:hint="default"/>
      </w:rPr>
    </w:lvl>
    <w:lvl w:ilvl="1" w:tplc="880CA5F4" w:tentative="1">
      <w:start w:val="1"/>
      <w:numFmt w:val="bullet"/>
      <w:lvlText w:val="•"/>
      <w:lvlJc w:val="left"/>
      <w:pPr>
        <w:tabs>
          <w:tab w:val="num" w:pos="1440"/>
        </w:tabs>
        <w:ind w:left="1440" w:hanging="360"/>
      </w:pPr>
      <w:rPr>
        <w:rFonts w:ascii="Times New Roman" w:hAnsi="Times New Roman" w:hint="default"/>
      </w:rPr>
    </w:lvl>
    <w:lvl w:ilvl="2" w:tplc="EA14B608" w:tentative="1">
      <w:start w:val="1"/>
      <w:numFmt w:val="bullet"/>
      <w:lvlText w:val="•"/>
      <w:lvlJc w:val="left"/>
      <w:pPr>
        <w:tabs>
          <w:tab w:val="num" w:pos="2160"/>
        </w:tabs>
        <w:ind w:left="2160" w:hanging="360"/>
      </w:pPr>
      <w:rPr>
        <w:rFonts w:ascii="Times New Roman" w:hAnsi="Times New Roman" w:hint="default"/>
      </w:rPr>
    </w:lvl>
    <w:lvl w:ilvl="3" w:tplc="CE04E51A" w:tentative="1">
      <w:start w:val="1"/>
      <w:numFmt w:val="bullet"/>
      <w:lvlText w:val="•"/>
      <w:lvlJc w:val="left"/>
      <w:pPr>
        <w:tabs>
          <w:tab w:val="num" w:pos="2880"/>
        </w:tabs>
        <w:ind w:left="2880" w:hanging="360"/>
      </w:pPr>
      <w:rPr>
        <w:rFonts w:ascii="Times New Roman" w:hAnsi="Times New Roman" w:hint="default"/>
      </w:rPr>
    </w:lvl>
    <w:lvl w:ilvl="4" w:tplc="A1D63D8A" w:tentative="1">
      <w:start w:val="1"/>
      <w:numFmt w:val="bullet"/>
      <w:lvlText w:val="•"/>
      <w:lvlJc w:val="left"/>
      <w:pPr>
        <w:tabs>
          <w:tab w:val="num" w:pos="3600"/>
        </w:tabs>
        <w:ind w:left="3600" w:hanging="360"/>
      </w:pPr>
      <w:rPr>
        <w:rFonts w:ascii="Times New Roman" w:hAnsi="Times New Roman" w:hint="default"/>
      </w:rPr>
    </w:lvl>
    <w:lvl w:ilvl="5" w:tplc="304E8A02" w:tentative="1">
      <w:start w:val="1"/>
      <w:numFmt w:val="bullet"/>
      <w:lvlText w:val="•"/>
      <w:lvlJc w:val="left"/>
      <w:pPr>
        <w:tabs>
          <w:tab w:val="num" w:pos="4320"/>
        </w:tabs>
        <w:ind w:left="4320" w:hanging="360"/>
      </w:pPr>
      <w:rPr>
        <w:rFonts w:ascii="Times New Roman" w:hAnsi="Times New Roman" w:hint="default"/>
      </w:rPr>
    </w:lvl>
    <w:lvl w:ilvl="6" w:tplc="E4DC6BAE" w:tentative="1">
      <w:start w:val="1"/>
      <w:numFmt w:val="bullet"/>
      <w:lvlText w:val="•"/>
      <w:lvlJc w:val="left"/>
      <w:pPr>
        <w:tabs>
          <w:tab w:val="num" w:pos="5040"/>
        </w:tabs>
        <w:ind w:left="5040" w:hanging="360"/>
      </w:pPr>
      <w:rPr>
        <w:rFonts w:ascii="Times New Roman" w:hAnsi="Times New Roman" w:hint="default"/>
      </w:rPr>
    </w:lvl>
    <w:lvl w:ilvl="7" w:tplc="7CF64D5C" w:tentative="1">
      <w:start w:val="1"/>
      <w:numFmt w:val="bullet"/>
      <w:lvlText w:val="•"/>
      <w:lvlJc w:val="left"/>
      <w:pPr>
        <w:tabs>
          <w:tab w:val="num" w:pos="5760"/>
        </w:tabs>
        <w:ind w:left="5760" w:hanging="360"/>
      </w:pPr>
      <w:rPr>
        <w:rFonts w:ascii="Times New Roman" w:hAnsi="Times New Roman" w:hint="default"/>
      </w:rPr>
    </w:lvl>
    <w:lvl w:ilvl="8" w:tplc="5260870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2E72ABA"/>
    <w:multiLevelType w:val="hybridMultilevel"/>
    <w:tmpl w:val="B4C6A37E"/>
    <w:lvl w:ilvl="0" w:tplc="82BCFB76">
      <w:start w:val="1"/>
      <w:numFmt w:val="bullet"/>
      <w:lvlText w:val="•"/>
      <w:lvlJc w:val="left"/>
      <w:pPr>
        <w:tabs>
          <w:tab w:val="num" w:pos="720"/>
        </w:tabs>
        <w:ind w:left="720" w:hanging="360"/>
      </w:pPr>
      <w:rPr>
        <w:rFonts w:ascii="Arial" w:hAnsi="Arial" w:hint="default"/>
      </w:rPr>
    </w:lvl>
    <w:lvl w:ilvl="1" w:tplc="7908AED0" w:tentative="1">
      <w:start w:val="1"/>
      <w:numFmt w:val="bullet"/>
      <w:lvlText w:val="•"/>
      <w:lvlJc w:val="left"/>
      <w:pPr>
        <w:tabs>
          <w:tab w:val="num" w:pos="1440"/>
        </w:tabs>
        <w:ind w:left="1440" w:hanging="360"/>
      </w:pPr>
      <w:rPr>
        <w:rFonts w:ascii="Arial" w:hAnsi="Arial" w:hint="default"/>
      </w:rPr>
    </w:lvl>
    <w:lvl w:ilvl="2" w:tplc="E9BEA46E" w:tentative="1">
      <w:start w:val="1"/>
      <w:numFmt w:val="bullet"/>
      <w:lvlText w:val="•"/>
      <w:lvlJc w:val="left"/>
      <w:pPr>
        <w:tabs>
          <w:tab w:val="num" w:pos="2160"/>
        </w:tabs>
        <w:ind w:left="2160" w:hanging="360"/>
      </w:pPr>
      <w:rPr>
        <w:rFonts w:ascii="Arial" w:hAnsi="Arial" w:hint="default"/>
      </w:rPr>
    </w:lvl>
    <w:lvl w:ilvl="3" w:tplc="AF827CBA" w:tentative="1">
      <w:start w:val="1"/>
      <w:numFmt w:val="bullet"/>
      <w:lvlText w:val="•"/>
      <w:lvlJc w:val="left"/>
      <w:pPr>
        <w:tabs>
          <w:tab w:val="num" w:pos="2880"/>
        </w:tabs>
        <w:ind w:left="2880" w:hanging="360"/>
      </w:pPr>
      <w:rPr>
        <w:rFonts w:ascii="Arial" w:hAnsi="Arial" w:hint="default"/>
      </w:rPr>
    </w:lvl>
    <w:lvl w:ilvl="4" w:tplc="74EE49F8" w:tentative="1">
      <w:start w:val="1"/>
      <w:numFmt w:val="bullet"/>
      <w:lvlText w:val="•"/>
      <w:lvlJc w:val="left"/>
      <w:pPr>
        <w:tabs>
          <w:tab w:val="num" w:pos="3600"/>
        </w:tabs>
        <w:ind w:left="3600" w:hanging="360"/>
      </w:pPr>
      <w:rPr>
        <w:rFonts w:ascii="Arial" w:hAnsi="Arial" w:hint="default"/>
      </w:rPr>
    </w:lvl>
    <w:lvl w:ilvl="5" w:tplc="018A4982" w:tentative="1">
      <w:start w:val="1"/>
      <w:numFmt w:val="bullet"/>
      <w:lvlText w:val="•"/>
      <w:lvlJc w:val="left"/>
      <w:pPr>
        <w:tabs>
          <w:tab w:val="num" w:pos="4320"/>
        </w:tabs>
        <w:ind w:left="4320" w:hanging="360"/>
      </w:pPr>
      <w:rPr>
        <w:rFonts w:ascii="Arial" w:hAnsi="Arial" w:hint="default"/>
      </w:rPr>
    </w:lvl>
    <w:lvl w:ilvl="6" w:tplc="5DE451BA" w:tentative="1">
      <w:start w:val="1"/>
      <w:numFmt w:val="bullet"/>
      <w:lvlText w:val="•"/>
      <w:lvlJc w:val="left"/>
      <w:pPr>
        <w:tabs>
          <w:tab w:val="num" w:pos="5040"/>
        </w:tabs>
        <w:ind w:left="5040" w:hanging="360"/>
      </w:pPr>
      <w:rPr>
        <w:rFonts w:ascii="Arial" w:hAnsi="Arial" w:hint="default"/>
      </w:rPr>
    </w:lvl>
    <w:lvl w:ilvl="7" w:tplc="D4ECF62E" w:tentative="1">
      <w:start w:val="1"/>
      <w:numFmt w:val="bullet"/>
      <w:lvlText w:val="•"/>
      <w:lvlJc w:val="left"/>
      <w:pPr>
        <w:tabs>
          <w:tab w:val="num" w:pos="5760"/>
        </w:tabs>
        <w:ind w:left="5760" w:hanging="360"/>
      </w:pPr>
      <w:rPr>
        <w:rFonts w:ascii="Arial" w:hAnsi="Arial" w:hint="default"/>
      </w:rPr>
    </w:lvl>
    <w:lvl w:ilvl="8" w:tplc="00EEFCDE" w:tentative="1">
      <w:start w:val="1"/>
      <w:numFmt w:val="bullet"/>
      <w:lvlText w:val="•"/>
      <w:lvlJc w:val="left"/>
      <w:pPr>
        <w:tabs>
          <w:tab w:val="num" w:pos="6480"/>
        </w:tabs>
        <w:ind w:left="6480" w:hanging="360"/>
      </w:pPr>
      <w:rPr>
        <w:rFonts w:ascii="Arial" w:hAnsi="Arial" w:hint="default"/>
      </w:rPr>
    </w:lvl>
  </w:abstractNum>
  <w:num w:numId="1" w16cid:durableId="1307664192">
    <w:abstractNumId w:val="0"/>
  </w:num>
  <w:num w:numId="2" w16cid:durableId="533465115">
    <w:abstractNumId w:val="3"/>
  </w:num>
  <w:num w:numId="3" w16cid:durableId="835267888">
    <w:abstractNumId w:val="6"/>
  </w:num>
  <w:num w:numId="4" w16cid:durableId="1754351217">
    <w:abstractNumId w:val="4"/>
  </w:num>
  <w:num w:numId="5" w16cid:durableId="2021811756">
    <w:abstractNumId w:val="5"/>
  </w:num>
  <w:num w:numId="6" w16cid:durableId="1968509035">
    <w:abstractNumId w:val="2"/>
  </w:num>
  <w:num w:numId="7" w16cid:durableId="172290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1F"/>
    <w:rsid w:val="00025A7A"/>
    <w:rsid w:val="00086C19"/>
    <w:rsid w:val="000A5A6C"/>
    <w:rsid w:val="000A606D"/>
    <w:rsid w:val="000B574F"/>
    <w:rsid w:val="0016130C"/>
    <w:rsid w:val="001839C9"/>
    <w:rsid w:val="001A00C5"/>
    <w:rsid w:val="001B7F2F"/>
    <w:rsid w:val="001C0455"/>
    <w:rsid w:val="001E3F27"/>
    <w:rsid w:val="00224A80"/>
    <w:rsid w:val="002A2D9D"/>
    <w:rsid w:val="002C1F56"/>
    <w:rsid w:val="003051C7"/>
    <w:rsid w:val="003456D7"/>
    <w:rsid w:val="0035399E"/>
    <w:rsid w:val="003706CC"/>
    <w:rsid w:val="00394756"/>
    <w:rsid w:val="003B59D7"/>
    <w:rsid w:val="003B7C0A"/>
    <w:rsid w:val="003E32A5"/>
    <w:rsid w:val="00444883"/>
    <w:rsid w:val="00451563"/>
    <w:rsid w:val="00457149"/>
    <w:rsid w:val="004654D7"/>
    <w:rsid w:val="00467260"/>
    <w:rsid w:val="0048293A"/>
    <w:rsid w:val="00504129"/>
    <w:rsid w:val="00554F10"/>
    <w:rsid w:val="005848C2"/>
    <w:rsid w:val="005C2928"/>
    <w:rsid w:val="005F2E8B"/>
    <w:rsid w:val="00622352"/>
    <w:rsid w:val="00643709"/>
    <w:rsid w:val="00650845"/>
    <w:rsid w:val="0069064A"/>
    <w:rsid w:val="00696A0D"/>
    <w:rsid w:val="006C539E"/>
    <w:rsid w:val="006E39EB"/>
    <w:rsid w:val="006F3B27"/>
    <w:rsid w:val="006F62F4"/>
    <w:rsid w:val="00702DEF"/>
    <w:rsid w:val="00723B94"/>
    <w:rsid w:val="00741233"/>
    <w:rsid w:val="00772A9C"/>
    <w:rsid w:val="00786601"/>
    <w:rsid w:val="007C6AD5"/>
    <w:rsid w:val="008038B1"/>
    <w:rsid w:val="00807529"/>
    <w:rsid w:val="00823177"/>
    <w:rsid w:val="00835742"/>
    <w:rsid w:val="00866090"/>
    <w:rsid w:val="008935B1"/>
    <w:rsid w:val="008A54F8"/>
    <w:rsid w:val="008E0FCF"/>
    <w:rsid w:val="008F3780"/>
    <w:rsid w:val="008F6BBD"/>
    <w:rsid w:val="008F7801"/>
    <w:rsid w:val="00902319"/>
    <w:rsid w:val="00913C2F"/>
    <w:rsid w:val="009211C2"/>
    <w:rsid w:val="00937238"/>
    <w:rsid w:val="00967F6E"/>
    <w:rsid w:val="00983E5C"/>
    <w:rsid w:val="00991E01"/>
    <w:rsid w:val="0099442D"/>
    <w:rsid w:val="009A32A0"/>
    <w:rsid w:val="009A3E20"/>
    <w:rsid w:val="009A7005"/>
    <w:rsid w:val="009F0AF6"/>
    <w:rsid w:val="009F57A9"/>
    <w:rsid w:val="00A2730D"/>
    <w:rsid w:val="00A81C2B"/>
    <w:rsid w:val="00AE16C4"/>
    <w:rsid w:val="00AF018E"/>
    <w:rsid w:val="00AF4C03"/>
    <w:rsid w:val="00B01CE7"/>
    <w:rsid w:val="00BA6B05"/>
    <w:rsid w:val="00BB442F"/>
    <w:rsid w:val="00C82410"/>
    <w:rsid w:val="00CA36F1"/>
    <w:rsid w:val="00CB3F2E"/>
    <w:rsid w:val="00CC4D1E"/>
    <w:rsid w:val="00CF336C"/>
    <w:rsid w:val="00D1753A"/>
    <w:rsid w:val="00D57058"/>
    <w:rsid w:val="00D574F7"/>
    <w:rsid w:val="00D67940"/>
    <w:rsid w:val="00D82A45"/>
    <w:rsid w:val="00DC0F76"/>
    <w:rsid w:val="00DF5E4A"/>
    <w:rsid w:val="00DF6769"/>
    <w:rsid w:val="00E93FDB"/>
    <w:rsid w:val="00E97447"/>
    <w:rsid w:val="00EF126D"/>
    <w:rsid w:val="00F233DA"/>
    <w:rsid w:val="00F25348"/>
    <w:rsid w:val="00F64F1F"/>
    <w:rsid w:val="00F67D10"/>
    <w:rsid w:val="00F86CF7"/>
    <w:rsid w:val="00FB240A"/>
    <w:rsid w:val="00FD0261"/>
    <w:rsid w:val="00FF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1A1AF3"/>
  <w15:chartTrackingRefBased/>
  <w15:docId w15:val="{9E51F9A9-43F4-5842-B811-6B5729EB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6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348"/>
    <w:pPr>
      <w:tabs>
        <w:tab w:val="center" w:pos="4680"/>
        <w:tab w:val="right" w:pos="9360"/>
      </w:tabs>
    </w:pPr>
  </w:style>
  <w:style w:type="character" w:customStyle="1" w:styleId="HeaderChar">
    <w:name w:val="Header Char"/>
    <w:basedOn w:val="DefaultParagraphFont"/>
    <w:link w:val="Header"/>
    <w:uiPriority w:val="99"/>
    <w:rsid w:val="00F25348"/>
  </w:style>
  <w:style w:type="paragraph" w:styleId="Footer">
    <w:name w:val="footer"/>
    <w:basedOn w:val="Normal"/>
    <w:link w:val="FooterChar"/>
    <w:uiPriority w:val="99"/>
    <w:unhideWhenUsed/>
    <w:rsid w:val="00F25348"/>
    <w:pPr>
      <w:tabs>
        <w:tab w:val="center" w:pos="4680"/>
        <w:tab w:val="right" w:pos="9360"/>
      </w:tabs>
    </w:pPr>
  </w:style>
  <w:style w:type="character" w:customStyle="1" w:styleId="FooterChar">
    <w:name w:val="Footer Char"/>
    <w:basedOn w:val="DefaultParagraphFont"/>
    <w:link w:val="Footer"/>
    <w:uiPriority w:val="99"/>
    <w:rsid w:val="00F25348"/>
  </w:style>
  <w:style w:type="character" w:styleId="PageNumber">
    <w:name w:val="page number"/>
    <w:basedOn w:val="DefaultParagraphFont"/>
    <w:uiPriority w:val="99"/>
    <w:semiHidden/>
    <w:unhideWhenUsed/>
    <w:rsid w:val="00F25348"/>
  </w:style>
  <w:style w:type="character" w:styleId="Hyperlink">
    <w:name w:val="Hyperlink"/>
    <w:basedOn w:val="DefaultParagraphFont"/>
    <w:uiPriority w:val="99"/>
    <w:unhideWhenUsed/>
    <w:rsid w:val="00025A7A"/>
    <w:rPr>
      <w:color w:val="0563C1" w:themeColor="hyperlink"/>
      <w:u w:val="single"/>
    </w:rPr>
  </w:style>
  <w:style w:type="character" w:styleId="UnresolvedMention">
    <w:name w:val="Unresolved Mention"/>
    <w:basedOn w:val="DefaultParagraphFont"/>
    <w:uiPriority w:val="99"/>
    <w:semiHidden/>
    <w:unhideWhenUsed/>
    <w:rsid w:val="00025A7A"/>
    <w:rPr>
      <w:color w:val="605E5C"/>
      <w:shd w:val="clear" w:color="auto" w:fill="E1DFDD"/>
    </w:rPr>
  </w:style>
  <w:style w:type="paragraph" w:styleId="ListParagraph">
    <w:name w:val="List Paragraph"/>
    <w:basedOn w:val="Normal"/>
    <w:uiPriority w:val="34"/>
    <w:qFormat/>
    <w:rsid w:val="00504129"/>
    <w:pPr>
      <w:ind w:left="720"/>
      <w:contextualSpacing/>
    </w:pPr>
  </w:style>
  <w:style w:type="paragraph" w:styleId="NormalWeb">
    <w:name w:val="Normal (Web)"/>
    <w:basedOn w:val="Normal"/>
    <w:uiPriority w:val="99"/>
    <w:unhideWhenUsed/>
    <w:rsid w:val="00CA36F1"/>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E3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587156874">
      <w:bodyDiv w:val="1"/>
      <w:marLeft w:val="0"/>
      <w:marRight w:val="0"/>
      <w:marTop w:val="0"/>
      <w:marBottom w:val="0"/>
      <w:divBdr>
        <w:top w:val="none" w:sz="0" w:space="0" w:color="auto"/>
        <w:left w:val="none" w:sz="0" w:space="0" w:color="auto"/>
        <w:bottom w:val="none" w:sz="0" w:space="0" w:color="auto"/>
        <w:right w:val="none" w:sz="0" w:space="0" w:color="auto"/>
      </w:divBdr>
    </w:div>
    <w:div w:id="608049083">
      <w:bodyDiv w:val="1"/>
      <w:marLeft w:val="0"/>
      <w:marRight w:val="0"/>
      <w:marTop w:val="0"/>
      <w:marBottom w:val="0"/>
      <w:divBdr>
        <w:top w:val="none" w:sz="0" w:space="0" w:color="auto"/>
        <w:left w:val="none" w:sz="0" w:space="0" w:color="auto"/>
        <w:bottom w:val="none" w:sz="0" w:space="0" w:color="auto"/>
        <w:right w:val="none" w:sz="0" w:space="0" w:color="auto"/>
      </w:divBdr>
      <w:divsChild>
        <w:div w:id="1522472986">
          <w:marLeft w:val="547"/>
          <w:marRight w:val="0"/>
          <w:marTop w:val="0"/>
          <w:marBottom w:val="0"/>
          <w:divBdr>
            <w:top w:val="none" w:sz="0" w:space="0" w:color="auto"/>
            <w:left w:val="none" w:sz="0" w:space="0" w:color="auto"/>
            <w:bottom w:val="none" w:sz="0" w:space="0" w:color="auto"/>
            <w:right w:val="none" w:sz="0" w:space="0" w:color="auto"/>
          </w:divBdr>
        </w:div>
      </w:divsChild>
    </w:div>
    <w:div w:id="706221275">
      <w:bodyDiv w:val="1"/>
      <w:marLeft w:val="0"/>
      <w:marRight w:val="0"/>
      <w:marTop w:val="0"/>
      <w:marBottom w:val="0"/>
      <w:divBdr>
        <w:top w:val="none" w:sz="0" w:space="0" w:color="auto"/>
        <w:left w:val="none" w:sz="0" w:space="0" w:color="auto"/>
        <w:bottom w:val="none" w:sz="0" w:space="0" w:color="auto"/>
        <w:right w:val="none" w:sz="0" w:space="0" w:color="auto"/>
      </w:divBdr>
    </w:div>
    <w:div w:id="742338784">
      <w:bodyDiv w:val="1"/>
      <w:marLeft w:val="0"/>
      <w:marRight w:val="0"/>
      <w:marTop w:val="0"/>
      <w:marBottom w:val="0"/>
      <w:divBdr>
        <w:top w:val="none" w:sz="0" w:space="0" w:color="auto"/>
        <w:left w:val="none" w:sz="0" w:space="0" w:color="auto"/>
        <w:bottom w:val="none" w:sz="0" w:space="0" w:color="auto"/>
        <w:right w:val="none" w:sz="0" w:space="0" w:color="auto"/>
      </w:divBdr>
      <w:divsChild>
        <w:div w:id="542401280">
          <w:marLeft w:val="360"/>
          <w:marRight w:val="0"/>
          <w:marTop w:val="200"/>
          <w:marBottom w:val="0"/>
          <w:divBdr>
            <w:top w:val="none" w:sz="0" w:space="0" w:color="auto"/>
            <w:left w:val="none" w:sz="0" w:space="0" w:color="auto"/>
            <w:bottom w:val="none" w:sz="0" w:space="0" w:color="auto"/>
            <w:right w:val="none" w:sz="0" w:space="0" w:color="auto"/>
          </w:divBdr>
        </w:div>
      </w:divsChild>
    </w:div>
    <w:div w:id="787242415">
      <w:bodyDiv w:val="1"/>
      <w:marLeft w:val="0"/>
      <w:marRight w:val="0"/>
      <w:marTop w:val="0"/>
      <w:marBottom w:val="0"/>
      <w:divBdr>
        <w:top w:val="none" w:sz="0" w:space="0" w:color="auto"/>
        <w:left w:val="none" w:sz="0" w:space="0" w:color="auto"/>
        <w:bottom w:val="none" w:sz="0" w:space="0" w:color="auto"/>
        <w:right w:val="none" w:sz="0" w:space="0" w:color="auto"/>
      </w:divBdr>
    </w:div>
    <w:div w:id="863906920">
      <w:bodyDiv w:val="1"/>
      <w:marLeft w:val="0"/>
      <w:marRight w:val="0"/>
      <w:marTop w:val="0"/>
      <w:marBottom w:val="0"/>
      <w:divBdr>
        <w:top w:val="none" w:sz="0" w:space="0" w:color="auto"/>
        <w:left w:val="none" w:sz="0" w:space="0" w:color="auto"/>
        <w:bottom w:val="none" w:sz="0" w:space="0" w:color="auto"/>
        <w:right w:val="none" w:sz="0" w:space="0" w:color="auto"/>
      </w:divBdr>
    </w:div>
    <w:div w:id="1085229779">
      <w:bodyDiv w:val="1"/>
      <w:marLeft w:val="0"/>
      <w:marRight w:val="0"/>
      <w:marTop w:val="0"/>
      <w:marBottom w:val="0"/>
      <w:divBdr>
        <w:top w:val="none" w:sz="0" w:space="0" w:color="auto"/>
        <w:left w:val="none" w:sz="0" w:space="0" w:color="auto"/>
        <w:bottom w:val="none" w:sz="0" w:space="0" w:color="auto"/>
        <w:right w:val="none" w:sz="0" w:space="0" w:color="auto"/>
      </w:divBdr>
    </w:div>
    <w:div w:id="1275867718">
      <w:bodyDiv w:val="1"/>
      <w:marLeft w:val="0"/>
      <w:marRight w:val="0"/>
      <w:marTop w:val="0"/>
      <w:marBottom w:val="0"/>
      <w:divBdr>
        <w:top w:val="none" w:sz="0" w:space="0" w:color="auto"/>
        <w:left w:val="none" w:sz="0" w:space="0" w:color="auto"/>
        <w:bottom w:val="none" w:sz="0" w:space="0" w:color="auto"/>
        <w:right w:val="none" w:sz="0" w:space="0" w:color="auto"/>
      </w:divBdr>
      <w:divsChild>
        <w:div w:id="1621035874">
          <w:marLeft w:val="547"/>
          <w:marRight w:val="0"/>
          <w:marTop w:val="0"/>
          <w:marBottom w:val="0"/>
          <w:divBdr>
            <w:top w:val="none" w:sz="0" w:space="0" w:color="auto"/>
            <w:left w:val="none" w:sz="0" w:space="0" w:color="auto"/>
            <w:bottom w:val="none" w:sz="0" w:space="0" w:color="auto"/>
            <w:right w:val="none" w:sz="0" w:space="0" w:color="auto"/>
          </w:divBdr>
        </w:div>
      </w:divsChild>
    </w:div>
    <w:div w:id="1288582919">
      <w:bodyDiv w:val="1"/>
      <w:marLeft w:val="0"/>
      <w:marRight w:val="0"/>
      <w:marTop w:val="0"/>
      <w:marBottom w:val="0"/>
      <w:divBdr>
        <w:top w:val="none" w:sz="0" w:space="0" w:color="auto"/>
        <w:left w:val="none" w:sz="0" w:space="0" w:color="auto"/>
        <w:bottom w:val="none" w:sz="0" w:space="0" w:color="auto"/>
        <w:right w:val="none" w:sz="0" w:space="0" w:color="auto"/>
      </w:divBdr>
    </w:div>
    <w:div w:id="1357852441">
      <w:bodyDiv w:val="1"/>
      <w:marLeft w:val="0"/>
      <w:marRight w:val="0"/>
      <w:marTop w:val="0"/>
      <w:marBottom w:val="0"/>
      <w:divBdr>
        <w:top w:val="none" w:sz="0" w:space="0" w:color="auto"/>
        <w:left w:val="none" w:sz="0" w:space="0" w:color="auto"/>
        <w:bottom w:val="none" w:sz="0" w:space="0" w:color="auto"/>
        <w:right w:val="none" w:sz="0" w:space="0" w:color="auto"/>
      </w:divBdr>
    </w:div>
    <w:div w:id="1517958113">
      <w:bodyDiv w:val="1"/>
      <w:marLeft w:val="0"/>
      <w:marRight w:val="0"/>
      <w:marTop w:val="0"/>
      <w:marBottom w:val="0"/>
      <w:divBdr>
        <w:top w:val="none" w:sz="0" w:space="0" w:color="auto"/>
        <w:left w:val="none" w:sz="0" w:space="0" w:color="auto"/>
        <w:bottom w:val="none" w:sz="0" w:space="0" w:color="auto"/>
        <w:right w:val="none" w:sz="0" w:space="0" w:color="auto"/>
      </w:divBdr>
    </w:div>
    <w:div w:id="1623610521">
      <w:bodyDiv w:val="1"/>
      <w:marLeft w:val="0"/>
      <w:marRight w:val="0"/>
      <w:marTop w:val="0"/>
      <w:marBottom w:val="0"/>
      <w:divBdr>
        <w:top w:val="none" w:sz="0" w:space="0" w:color="auto"/>
        <w:left w:val="none" w:sz="0" w:space="0" w:color="auto"/>
        <w:bottom w:val="none" w:sz="0" w:space="0" w:color="auto"/>
        <w:right w:val="none" w:sz="0" w:space="0" w:color="auto"/>
      </w:divBdr>
      <w:divsChild>
        <w:div w:id="333336544">
          <w:marLeft w:val="360"/>
          <w:marRight w:val="0"/>
          <w:marTop w:val="200"/>
          <w:marBottom w:val="0"/>
          <w:divBdr>
            <w:top w:val="none" w:sz="0" w:space="0" w:color="auto"/>
            <w:left w:val="none" w:sz="0" w:space="0" w:color="auto"/>
            <w:bottom w:val="none" w:sz="0" w:space="0" w:color="auto"/>
            <w:right w:val="none" w:sz="0" w:space="0" w:color="auto"/>
          </w:divBdr>
        </w:div>
      </w:divsChild>
    </w:div>
    <w:div w:id="1897159845">
      <w:bodyDiv w:val="1"/>
      <w:marLeft w:val="0"/>
      <w:marRight w:val="0"/>
      <w:marTop w:val="0"/>
      <w:marBottom w:val="0"/>
      <w:divBdr>
        <w:top w:val="none" w:sz="0" w:space="0" w:color="auto"/>
        <w:left w:val="none" w:sz="0" w:space="0" w:color="auto"/>
        <w:bottom w:val="none" w:sz="0" w:space="0" w:color="auto"/>
        <w:right w:val="none" w:sz="0" w:space="0" w:color="auto"/>
      </w:divBdr>
      <w:divsChild>
        <w:div w:id="1577132421">
          <w:marLeft w:val="360"/>
          <w:marRight w:val="0"/>
          <w:marTop w:val="200"/>
          <w:marBottom w:val="0"/>
          <w:divBdr>
            <w:top w:val="none" w:sz="0" w:space="0" w:color="auto"/>
            <w:left w:val="none" w:sz="0" w:space="0" w:color="auto"/>
            <w:bottom w:val="none" w:sz="0" w:space="0" w:color="auto"/>
            <w:right w:val="none" w:sz="0" w:space="0" w:color="auto"/>
          </w:divBdr>
        </w:div>
      </w:divsChild>
    </w:div>
    <w:div w:id="1943803044">
      <w:bodyDiv w:val="1"/>
      <w:marLeft w:val="0"/>
      <w:marRight w:val="0"/>
      <w:marTop w:val="0"/>
      <w:marBottom w:val="0"/>
      <w:divBdr>
        <w:top w:val="none" w:sz="0" w:space="0" w:color="auto"/>
        <w:left w:val="none" w:sz="0" w:space="0" w:color="auto"/>
        <w:bottom w:val="none" w:sz="0" w:space="0" w:color="auto"/>
        <w:right w:val="none" w:sz="0" w:space="0" w:color="auto"/>
      </w:divBdr>
    </w:div>
    <w:div w:id="21115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49827/"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oi.org/10.1111/jce.1562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ntlukeskc.org/health-library/dischar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3390/nursrep14030129" TargetMode="External"/><Relationship Id="rId4" Type="http://schemas.openxmlformats.org/officeDocument/2006/relationships/webSettings" Target="webSettings.xml"/><Relationship Id="rId9" Type="http://schemas.openxmlformats.org/officeDocument/2006/relationships/hyperlink" Target="https://www.svhlunghealth.com.au/procedures/procedures-treatments/pulmon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10</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 D. Cacacho</cp:lastModifiedBy>
  <cp:revision>24</cp:revision>
  <dcterms:created xsi:type="dcterms:W3CDTF">2025-06-01T18:27:00Z</dcterms:created>
  <dcterms:modified xsi:type="dcterms:W3CDTF">2025-06-01T23:37:00Z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a07856-82bd-45bb-bddd-fb95b660c2d7_Enabled">
    <vt:lpwstr>true</vt:lpwstr>
  </property>
  <property fmtid="{D5CDD505-2E9C-101B-9397-08002B2CF9AE}" pid="3" name="MSIP_Label_4fa07856-82bd-45bb-bddd-fb95b660c2d7_SetDate">
    <vt:lpwstr>2024-02-03T17:20:00Z</vt:lpwstr>
  </property>
  <property fmtid="{D5CDD505-2E9C-101B-9397-08002B2CF9AE}" pid="4" name="MSIP_Label_4fa07856-82bd-45bb-bddd-fb95b660c2d7_Method">
    <vt:lpwstr>Standard</vt:lpwstr>
  </property>
  <property fmtid="{D5CDD505-2E9C-101B-9397-08002B2CF9AE}" pid="5" name="MSIP_Label_4fa07856-82bd-45bb-bddd-fb95b660c2d7_Name">
    <vt:lpwstr>defa4170-0d19-0005-0004-bc88714345d2</vt:lpwstr>
  </property>
  <property fmtid="{D5CDD505-2E9C-101B-9397-08002B2CF9AE}" pid="6" name="MSIP_Label_4fa07856-82bd-45bb-bddd-fb95b660c2d7_SiteId">
    <vt:lpwstr>a0c272d0-2768-4743-b621-bdb1af3751ef</vt:lpwstr>
  </property>
  <property fmtid="{D5CDD505-2E9C-101B-9397-08002B2CF9AE}" pid="7" name="MSIP_Label_4fa07856-82bd-45bb-bddd-fb95b660c2d7_ActionId">
    <vt:lpwstr>0b55e8f9-82ce-4fbc-82cf-31d3e85673a1</vt:lpwstr>
  </property>
  <property fmtid="{D5CDD505-2E9C-101B-9397-08002B2CF9AE}" pid="8" name="MSIP_Label_4fa07856-82bd-45bb-bddd-fb95b660c2d7_ContentBits">
    <vt:lpwstr>0</vt:lpwstr>
  </property>
</Properties>
</file>