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01BCA3B6"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270EFD84" w14:textId="5A4E4D69" w:rsidR="00F25348" w:rsidRDefault="00F864BB" w:rsidP="00F25348">
      <w:pPr>
        <w:spacing w:line="480" w:lineRule="auto"/>
        <w:contextualSpacing/>
        <w:jc w:val="center"/>
        <w:rPr>
          <w:rFonts w:ascii="Times New Roman" w:hAnsi="Times New Roman" w:cs="Times New Roman"/>
          <w:b/>
        </w:rPr>
      </w:pPr>
      <w:r>
        <w:rPr>
          <w:rFonts w:ascii="Times New Roman" w:hAnsi="Times New Roman" w:cs="Times New Roman"/>
          <w:b/>
        </w:rPr>
        <w:t>Student Assessment &amp; Related Ethical/Legal Issues Paper</w:t>
      </w:r>
    </w:p>
    <w:p w14:paraId="0520699A" w14:textId="77777777" w:rsidR="00F25348" w:rsidRDefault="00F25348" w:rsidP="00F25348">
      <w:pPr>
        <w:spacing w:line="480" w:lineRule="auto"/>
        <w:contextualSpacing/>
        <w:jc w:val="center"/>
        <w:rPr>
          <w:rFonts w:ascii="Times New Roman" w:hAnsi="Times New Roman" w:cs="Times New Roman"/>
          <w:b/>
        </w:rPr>
      </w:pP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37527B3" w14:textId="77777777"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Department of Nursing, Pacific Union College</w:t>
      </w:r>
    </w:p>
    <w:p w14:paraId="1080BFBE" w14:textId="232BA229" w:rsidR="00F25348" w:rsidRDefault="00F864BB" w:rsidP="00F25348">
      <w:pPr>
        <w:spacing w:line="480" w:lineRule="auto"/>
        <w:contextualSpacing/>
        <w:jc w:val="center"/>
        <w:rPr>
          <w:rFonts w:ascii="Times New Roman" w:hAnsi="Times New Roman" w:cs="Times New Roman"/>
          <w:bCs/>
        </w:rPr>
      </w:pPr>
      <w:r>
        <w:rPr>
          <w:rFonts w:ascii="Times New Roman" w:hAnsi="Times New Roman" w:cs="Times New Roman"/>
          <w:bCs/>
        </w:rPr>
        <w:t>NURS 533: Nurse Educator III Evaluation Strategies</w:t>
      </w:r>
    </w:p>
    <w:p w14:paraId="36489AF7" w14:textId="54A301CC" w:rsidR="00F25348" w:rsidRDefault="005C2928" w:rsidP="00F25348">
      <w:pPr>
        <w:spacing w:line="480" w:lineRule="auto"/>
        <w:contextualSpacing/>
        <w:jc w:val="center"/>
        <w:rPr>
          <w:rFonts w:ascii="Times New Roman" w:hAnsi="Times New Roman" w:cs="Times New Roman"/>
          <w:bCs/>
        </w:rPr>
      </w:pPr>
      <w:r>
        <w:rPr>
          <w:rFonts w:ascii="Times New Roman" w:hAnsi="Times New Roman" w:cs="Times New Roman"/>
          <w:bCs/>
        </w:rPr>
        <w:t>Professor</w:t>
      </w:r>
      <w:r w:rsidR="00F864BB">
        <w:rPr>
          <w:rFonts w:ascii="Times New Roman" w:hAnsi="Times New Roman" w:cs="Times New Roman"/>
          <w:bCs/>
        </w:rPr>
        <w:t xml:space="preserve"> Laurie Parson</w:t>
      </w:r>
    </w:p>
    <w:p w14:paraId="1A6DBF63" w14:textId="4CC58CA2" w:rsidR="00F25348" w:rsidRPr="00F25348" w:rsidRDefault="00F864BB" w:rsidP="00F25348">
      <w:pPr>
        <w:spacing w:line="480" w:lineRule="auto"/>
        <w:contextualSpacing/>
        <w:jc w:val="center"/>
        <w:rPr>
          <w:rFonts w:ascii="Times New Roman" w:hAnsi="Times New Roman" w:cs="Times New Roman"/>
          <w:bCs/>
        </w:rPr>
      </w:pPr>
      <w:r>
        <w:rPr>
          <w:rFonts w:ascii="Times New Roman" w:hAnsi="Times New Roman" w:cs="Times New Roman"/>
          <w:bCs/>
        </w:rPr>
        <w:t>May 16, 2024</w:t>
      </w:r>
    </w:p>
    <w:p w14:paraId="5190B8BC" w14:textId="380BF5E4" w:rsidR="005C2928" w:rsidRPr="005C2928" w:rsidRDefault="00F25348" w:rsidP="005C2928">
      <w:pPr>
        <w:rPr>
          <w:rFonts w:ascii="Times New Roman" w:hAnsi="Times New Roman" w:cs="Times New Roman"/>
          <w:b/>
          <w:u w:val="single"/>
        </w:rPr>
      </w:pPr>
      <w:r>
        <w:rPr>
          <w:rFonts w:ascii="Times New Roman" w:hAnsi="Times New Roman" w:cs="Times New Roman"/>
          <w:b/>
          <w:u w:val="single"/>
        </w:rPr>
        <w:br w:type="page"/>
      </w:r>
    </w:p>
    <w:p w14:paraId="1F6D77D7" w14:textId="19215094" w:rsidR="00D57058" w:rsidRDefault="00F864BB" w:rsidP="00025A7A">
      <w:pPr>
        <w:spacing w:line="480" w:lineRule="auto"/>
        <w:contextualSpacing/>
        <w:jc w:val="center"/>
        <w:rPr>
          <w:rFonts w:ascii="Times New Roman" w:hAnsi="Times New Roman" w:cs="Times New Roman"/>
          <w:bCs/>
        </w:rPr>
      </w:pPr>
      <w:r>
        <w:rPr>
          <w:rFonts w:ascii="Times New Roman" w:hAnsi="Times New Roman" w:cs="Times New Roman"/>
          <w:bCs/>
        </w:rPr>
        <w:lastRenderedPageBreak/>
        <w:t>Student Assessment &amp; Related Ethical/Legal Issues Paper</w:t>
      </w:r>
    </w:p>
    <w:p w14:paraId="14F5558E" w14:textId="536C766E" w:rsidR="002912E6" w:rsidRDefault="00863B79" w:rsidP="00F864BB">
      <w:pPr>
        <w:spacing w:line="480" w:lineRule="auto"/>
        <w:contextualSpacing/>
        <w:rPr>
          <w:rFonts w:ascii="Times New Roman" w:hAnsi="Times New Roman" w:cs="Times New Roman"/>
          <w:bCs/>
        </w:rPr>
      </w:pPr>
      <w:r>
        <w:rPr>
          <w:rFonts w:ascii="Times New Roman" w:hAnsi="Times New Roman" w:cs="Times New Roman"/>
          <w:bCs/>
        </w:rPr>
        <w:tab/>
        <w:t xml:space="preserve">Assessments help guide nursing students toward the desired competencies required by the school’s curriculum. </w:t>
      </w:r>
      <w:r w:rsidR="00B766E6">
        <w:rPr>
          <w:rFonts w:ascii="Times New Roman" w:hAnsi="Times New Roman" w:cs="Times New Roman"/>
          <w:bCs/>
        </w:rPr>
        <w:t>A</w:t>
      </w:r>
      <w:r>
        <w:rPr>
          <w:rFonts w:ascii="Times New Roman" w:hAnsi="Times New Roman" w:cs="Times New Roman"/>
          <w:bCs/>
        </w:rPr>
        <w:t xml:space="preserve">cquiring these competencies and assessments is complex and has potential errors. Errors in the process will affect the teacher, the student, and the educational institution. Assessments measure whether the student is following the competencies and help guide the student on their weak points; the assessments made by the teacher determine the weak points. The problem is that there are issues regarding whether we can determine whether a certain assessment is accurate and fair regarding a weak or even a strong point. With the example of fair strong or weak points, ethical, legal, and privacy issues will be discussed in the aspect of a student assessment. </w:t>
      </w:r>
    </w:p>
    <w:p w14:paraId="5F4851FD" w14:textId="261F6D76" w:rsidR="005D1ABB" w:rsidRDefault="00863B79" w:rsidP="005D1ABB">
      <w:pPr>
        <w:spacing w:line="480" w:lineRule="auto"/>
        <w:ind w:firstLine="720"/>
        <w:contextualSpacing/>
        <w:rPr>
          <w:rFonts w:ascii="Times New Roman" w:hAnsi="Times New Roman" w:cs="Times New Roman"/>
          <w:bCs/>
        </w:rPr>
      </w:pPr>
      <w:r>
        <w:rPr>
          <w:rFonts w:ascii="Times New Roman" w:hAnsi="Times New Roman" w:cs="Times New Roman"/>
          <w:bCs/>
        </w:rPr>
        <w:t xml:space="preserve">Assessments are crucial for a student’s learning process, but any major flaw in the assessment process is detrimental to the student, teacher, and the educational institution. </w:t>
      </w:r>
      <w:r w:rsidR="002912E6">
        <w:rPr>
          <w:rFonts w:ascii="Times New Roman" w:hAnsi="Times New Roman" w:cs="Times New Roman"/>
          <w:bCs/>
        </w:rPr>
        <w:t xml:space="preserve">By being aware of the issues regarding major flaws in the assessment process, the student and the teacher must have a relationship focused on collaboration, trust, and understanding, along with encouraging empowerment and equity by the academic faculty for the students. (Billings &amp; Halstead, 2023) </w:t>
      </w:r>
      <w:r w:rsidR="00B766E6">
        <w:rPr>
          <w:rFonts w:ascii="Times New Roman" w:hAnsi="Times New Roman" w:cs="Times New Roman"/>
          <w:bCs/>
        </w:rPr>
        <w:t>It is important to know e</w:t>
      </w:r>
      <w:r w:rsidR="002912E6">
        <w:rPr>
          <w:rFonts w:ascii="Times New Roman" w:hAnsi="Times New Roman" w:cs="Times New Roman"/>
          <w:bCs/>
        </w:rPr>
        <w:t>thical issues, including assessment bias, its consequences, and educators' responsibilities to prevent ethical dilemmas. Legal issues, including the importance of the Americans with Disabilities Act</w:t>
      </w:r>
      <w:r w:rsidR="005D1ABB">
        <w:rPr>
          <w:rFonts w:ascii="Times New Roman" w:hAnsi="Times New Roman" w:cs="Times New Roman"/>
          <w:bCs/>
        </w:rPr>
        <w:t xml:space="preserve"> and</w:t>
      </w:r>
      <w:r w:rsidR="002912E6">
        <w:rPr>
          <w:rFonts w:ascii="Times New Roman" w:hAnsi="Times New Roman" w:cs="Times New Roman"/>
          <w:bCs/>
        </w:rPr>
        <w:t xml:space="preserve"> the potential legal consequences </w:t>
      </w:r>
      <w:r w:rsidR="005D1ABB">
        <w:rPr>
          <w:rFonts w:ascii="Times New Roman" w:hAnsi="Times New Roman" w:cs="Times New Roman"/>
          <w:bCs/>
        </w:rPr>
        <w:t xml:space="preserve">regarding student assessments, are important to learn about since there are concerns that, in general, educators do not have the best literacy regarding school law. (Schimmel &amp; </w:t>
      </w:r>
      <w:proofErr w:type="spellStart"/>
      <w:r w:rsidR="005D1ABB">
        <w:rPr>
          <w:rFonts w:ascii="Times New Roman" w:hAnsi="Times New Roman" w:cs="Times New Roman"/>
          <w:bCs/>
        </w:rPr>
        <w:t>Militello</w:t>
      </w:r>
      <w:proofErr w:type="spellEnd"/>
      <w:r w:rsidR="005D1ABB">
        <w:rPr>
          <w:rFonts w:ascii="Times New Roman" w:hAnsi="Times New Roman" w:cs="Times New Roman"/>
          <w:bCs/>
        </w:rPr>
        <w:t xml:space="preserve">, 2007) Lastly, with the ever-changing world of technology, especially with the push of virtual learning with the COVID-19 pandemic, privacy and confidentiality must </w:t>
      </w:r>
      <w:r w:rsidR="005D1ABB">
        <w:rPr>
          <w:rFonts w:ascii="Times New Roman" w:hAnsi="Times New Roman" w:cs="Times New Roman"/>
          <w:bCs/>
        </w:rPr>
        <w:lastRenderedPageBreak/>
        <w:t>be addressed by nurse educators in the in-person and virtual settings, along with strategies to enhance it.</w:t>
      </w:r>
    </w:p>
    <w:p w14:paraId="617CD0A0" w14:textId="0C5C8396" w:rsidR="00174599" w:rsidRDefault="00F864BB" w:rsidP="00174599">
      <w:pPr>
        <w:spacing w:line="480" w:lineRule="auto"/>
        <w:contextualSpacing/>
        <w:jc w:val="center"/>
        <w:rPr>
          <w:rFonts w:ascii="Times New Roman" w:hAnsi="Times New Roman" w:cs="Times New Roman"/>
          <w:b/>
        </w:rPr>
      </w:pPr>
      <w:r>
        <w:rPr>
          <w:rFonts w:ascii="Times New Roman" w:hAnsi="Times New Roman" w:cs="Times New Roman"/>
          <w:b/>
        </w:rPr>
        <w:t>Ethical Issues in Student Assessment</w:t>
      </w:r>
    </w:p>
    <w:p w14:paraId="7087F2AA" w14:textId="7F6BEB3F" w:rsidR="00174599" w:rsidRDefault="00174599" w:rsidP="00174599">
      <w:pPr>
        <w:spacing w:line="480" w:lineRule="auto"/>
        <w:contextualSpacing/>
        <w:rPr>
          <w:rFonts w:ascii="Times New Roman" w:hAnsi="Times New Roman" w:cs="Times New Roman"/>
          <w:bCs/>
        </w:rPr>
      </w:pPr>
      <w:r>
        <w:rPr>
          <w:rFonts w:ascii="Times New Roman" w:hAnsi="Times New Roman" w:cs="Times New Roman"/>
          <w:b/>
        </w:rPr>
        <w:tab/>
      </w:r>
      <w:r w:rsidRPr="00174599">
        <w:rPr>
          <w:rFonts w:ascii="Times New Roman" w:hAnsi="Times New Roman" w:cs="Times New Roman"/>
          <w:bCs/>
        </w:rPr>
        <w:t>Assessment bias is the</w:t>
      </w:r>
      <w:r>
        <w:rPr>
          <w:rFonts w:ascii="Times New Roman" w:hAnsi="Times New Roman" w:cs="Times New Roman"/>
          <w:bCs/>
        </w:rPr>
        <w:t xml:space="preserve"> most important issue that can stem from other factors in the assessment process. Assessment bias can come in many forms, whether addressing a student’s efforts as falsely satisfactory or dissatisfactory, and the intention can be intentional or unintentional. Generally speaking, it’s detrimental to the student’s learning process because it falsely indicates how their performance is being assessed. Examples of assessment bias is when it serves to discriminate against certain people. Examples can include manipulating test questions or competencies to a point where it’s inadequate for test-takers to interpret the correct or incorrect competency and being more biased in grading based on a group’s characteristics, whether falsely high or low. (Oermann et al., 2024)</w:t>
      </w:r>
    </w:p>
    <w:p w14:paraId="7C72D4BA" w14:textId="5F7364EA" w:rsidR="00F864BB" w:rsidRPr="00B766E6" w:rsidRDefault="00174599" w:rsidP="00B766E6">
      <w:pPr>
        <w:spacing w:line="480" w:lineRule="auto"/>
        <w:contextualSpacing/>
        <w:rPr>
          <w:rFonts w:ascii="Times New Roman" w:hAnsi="Times New Roman" w:cs="Times New Roman"/>
          <w:bCs/>
        </w:rPr>
      </w:pPr>
      <w:r>
        <w:rPr>
          <w:rFonts w:ascii="Times New Roman" w:hAnsi="Times New Roman" w:cs="Times New Roman"/>
          <w:bCs/>
        </w:rPr>
        <w:tab/>
        <w:t xml:space="preserve">The consequences of not being aware of these issues and biases work like a domino effect; teachers showing these unethical practices </w:t>
      </w:r>
      <w:r w:rsidR="004B5284">
        <w:rPr>
          <w:rFonts w:ascii="Times New Roman" w:hAnsi="Times New Roman" w:cs="Times New Roman"/>
          <w:bCs/>
        </w:rPr>
        <w:t xml:space="preserve">can influence students to either follow this behavior or be detrimental to their mental health and learning process as it creates an unprofessional and unethical environment, which can be discouraging. Once the teachers and students suffer the consequences of this unprofessional environment, it will eventually affect the reputation and credibility of the academic institution. (Wang et al., 2021) Whether intentional or unintentional, it’s important to address the issue and be aware once it occurs. It’s the duty of educators and educational institutions to ensure ethical assessment practices to prevent issues, including assessment bias, from occurring. Even though teachers may be biased against certain student groups that do not efficiently meet the competencies, it’s the teacher’s responsibility to prevent those biases and conclusions by allowing the students to demonstrate their outcomes by </w:t>
      </w:r>
      <w:r w:rsidR="004B5284">
        <w:rPr>
          <w:rFonts w:ascii="Times New Roman" w:hAnsi="Times New Roman" w:cs="Times New Roman"/>
          <w:bCs/>
        </w:rPr>
        <w:lastRenderedPageBreak/>
        <w:t xml:space="preserve">the end of the course; however, it’s still important for the academic institution to identify students who are at risk of failing, it’s just important not to let the biases influence their assessment decisions. </w:t>
      </w:r>
      <w:r w:rsidR="00C30931">
        <w:rPr>
          <w:rFonts w:ascii="Times New Roman" w:hAnsi="Times New Roman" w:cs="Times New Roman"/>
          <w:bCs/>
        </w:rPr>
        <w:t>Educators have an ethical responsibility for identifying and being aware of those at risk of not meeting competencies; however, they need to adopt the mindset of not setting them up for failure but maintaining equity for these students to succeed. Examples of maintaining equity include tutoring programs, individual course study sessions, study skills workshops, faculty-student mentoring, test-taking support, peer studying sessions, stress/time management training, flexible class scheduling through technology, consideration of students’ life experiences, and campus child care.</w:t>
      </w:r>
      <w:r w:rsidR="00C30931" w:rsidRPr="00C30931">
        <w:rPr>
          <w:rFonts w:ascii="Times New Roman" w:hAnsi="Times New Roman" w:cs="Times New Roman"/>
          <w:bCs/>
        </w:rPr>
        <w:t xml:space="preserve"> </w:t>
      </w:r>
      <w:r w:rsidR="00C30931">
        <w:rPr>
          <w:rFonts w:ascii="Times New Roman" w:hAnsi="Times New Roman" w:cs="Times New Roman"/>
          <w:bCs/>
        </w:rPr>
        <w:t>(Billings &amp; Halstead, 2023)</w:t>
      </w:r>
    </w:p>
    <w:p w14:paraId="7D216B65" w14:textId="45D79D52" w:rsidR="00F864BB" w:rsidRDefault="00F864BB" w:rsidP="00025A7A">
      <w:pPr>
        <w:spacing w:line="480" w:lineRule="auto"/>
        <w:contextualSpacing/>
        <w:jc w:val="center"/>
        <w:rPr>
          <w:rFonts w:ascii="Times New Roman" w:hAnsi="Times New Roman" w:cs="Times New Roman"/>
          <w:b/>
        </w:rPr>
      </w:pPr>
      <w:r>
        <w:rPr>
          <w:rFonts w:ascii="Times New Roman" w:hAnsi="Times New Roman" w:cs="Times New Roman"/>
          <w:b/>
        </w:rPr>
        <w:t>Legal Issues in Student Assessment</w:t>
      </w:r>
    </w:p>
    <w:p w14:paraId="3467E20E" w14:textId="732878B2" w:rsidR="00F864BB" w:rsidRDefault="00FB2A9A" w:rsidP="00B766E6">
      <w:pPr>
        <w:spacing w:line="480" w:lineRule="auto"/>
        <w:contextualSpacing/>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One of the biggest barriers and legal issues regarding student assessment was nursing schools denying admission to students with physical disabilities. Acts, including the Americans with Disabilities Act (ADA) of 1990 and </w:t>
      </w:r>
      <w:r w:rsidR="00E347B6">
        <w:rPr>
          <w:rFonts w:ascii="Times New Roman" w:hAnsi="Times New Roman" w:cs="Times New Roman"/>
          <w:bCs/>
        </w:rPr>
        <w:t xml:space="preserve">the </w:t>
      </w:r>
      <w:r>
        <w:rPr>
          <w:rFonts w:ascii="Times New Roman" w:hAnsi="Times New Roman" w:cs="Times New Roman"/>
          <w:bCs/>
        </w:rPr>
        <w:t>ADA Amendments Act of 2008, facilit</w:t>
      </w:r>
      <w:r w:rsidR="00E347B6">
        <w:rPr>
          <w:rFonts w:ascii="Times New Roman" w:hAnsi="Times New Roman" w:cs="Times New Roman"/>
          <w:bCs/>
        </w:rPr>
        <w:t>ate</w:t>
      </w:r>
      <w:r>
        <w:rPr>
          <w:rFonts w:ascii="Times New Roman" w:hAnsi="Times New Roman" w:cs="Times New Roman"/>
          <w:bCs/>
        </w:rPr>
        <w:t xml:space="preserve"> the inclusion of those with disabilities</w:t>
      </w:r>
      <w:r w:rsidR="00E347B6">
        <w:rPr>
          <w:rFonts w:ascii="Times New Roman" w:hAnsi="Times New Roman" w:cs="Times New Roman"/>
          <w:bCs/>
        </w:rPr>
        <w:t xml:space="preserve">, </w:t>
      </w:r>
      <w:r>
        <w:rPr>
          <w:rFonts w:ascii="Times New Roman" w:hAnsi="Times New Roman" w:cs="Times New Roman"/>
          <w:bCs/>
        </w:rPr>
        <w:t>ma</w:t>
      </w:r>
      <w:r w:rsidR="00E347B6">
        <w:rPr>
          <w:rFonts w:ascii="Times New Roman" w:hAnsi="Times New Roman" w:cs="Times New Roman"/>
          <w:bCs/>
        </w:rPr>
        <w:t>king</w:t>
      </w:r>
      <w:r>
        <w:rPr>
          <w:rFonts w:ascii="Times New Roman" w:hAnsi="Times New Roman" w:cs="Times New Roman"/>
          <w:bCs/>
        </w:rPr>
        <w:t xml:space="preserve"> it a right for schools to accommodate </w:t>
      </w:r>
      <w:r w:rsidR="00E347B6">
        <w:rPr>
          <w:rFonts w:ascii="Times New Roman" w:hAnsi="Times New Roman" w:cs="Times New Roman"/>
          <w:bCs/>
        </w:rPr>
        <w:t xml:space="preserve">the needs of the disabled in school and prevent discrimination of the disabled. </w:t>
      </w:r>
      <w:r w:rsidR="00E347B6">
        <w:rPr>
          <w:rFonts w:ascii="Times New Roman" w:hAnsi="Times New Roman" w:cs="Times New Roman"/>
          <w:bCs/>
        </w:rPr>
        <w:t>(Oermann et al., 2024)</w:t>
      </w:r>
      <w:r w:rsidR="00E347B6">
        <w:rPr>
          <w:rFonts w:ascii="Times New Roman" w:hAnsi="Times New Roman" w:cs="Times New Roman"/>
          <w:bCs/>
        </w:rPr>
        <w:t xml:space="preserve"> Because of these acts, discrimination regarding a student’s assessment grading is not prohibited. To prevent legal issues from occurring outside the aspect of disabilities and going into the technical perspective of the assessment process, educators should provide students rights on the formal documents and syllabi, review and update policies periodically, communicate expectations clearly, evidence of a student’s written work in a file until completed with the course, a student’s right to see all of their work, the right for a student to explain themselves if disciplinary events occur, and students should be made known if they’re not meeting the academic competencies. </w:t>
      </w:r>
      <w:r w:rsidR="00E347B6">
        <w:rPr>
          <w:rFonts w:ascii="Times New Roman" w:hAnsi="Times New Roman" w:cs="Times New Roman"/>
          <w:bCs/>
        </w:rPr>
        <w:t>(Billings &amp; Halstead, 2023)</w:t>
      </w:r>
      <w:r w:rsidR="00E347B6">
        <w:rPr>
          <w:rFonts w:ascii="Times New Roman" w:hAnsi="Times New Roman" w:cs="Times New Roman"/>
          <w:bCs/>
        </w:rPr>
        <w:t xml:space="preserve"> </w:t>
      </w:r>
    </w:p>
    <w:p w14:paraId="59E707CE" w14:textId="3C210A2B" w:rsidR="00B766E6" w:rsidRPr="001E70A0" w:rsidRDefault="00CF355C" w:rsidP="001E70A0">
      <w:pPr>
        <w:spacing w:line="480" w:lineRule="auto"/>
        <w:contextualSpacing/>
        <w:rPr>
          <w:rFonts w:ascii="Times New Roman" w:hAnsi="Times New Roman" w:cs="Times New Roman"/>
          <w:bCs/>
        </w:rPr>
      </w:pPr>
      <w:r>
        <w:rPr>
          <w:rFonts w:ascii="Times New Roman" w:hAnsi="Times New Roman" w:cs="Times New Roman"/>
          <w:bCs/>
        </w:rPr>
        <w:lastRenderedPageBreak/>
        <w:tab/>
        <w:t>Lawsuits are the biggest consequence of improper handling of legal issues regarding assessment regulations in an academic facility. The mishandling of these legal issues can create a domino effect of creating a culture of defensive learning by the teacher, which will negatively affect the student’s learning process and the credibility of the academic facility. (Davies, 2009)</w:t>
      </w:r>
      <w:r w:rsidR="002D5012">
        <w:rPr>
          <w:rFonts w:ascii="Times New Roman" w:hAnsi="Times New Roman" w:cs="Times New Roman"/>
          <w:bCs/>
        </w:rPr>
        <w:t xml:space="preserve"> </w:t>
      </w:r>
      <w:r w:rsidR="001E70A0">
        <w:rPr>
          <w:rFonts w:ascii="Times New Roman" w:hAnsi="Times New Roman" w:cs="Times New Roman"/>
          <w:bCs/>
        </w:rPr>
        <w:t xml:space="preserve">A lawsuit occurs when no conclusion or solution can be made through the student appeal process. The student usually appeals because of, in this case, a misjudgment or questionable grading in their assessment; they would have to go through a meeting with the instructor first, then the academic advisor, program director, dean of nursing, appeal committee, and eventually if it gets to this point, the chief academic officer conference. </w:t>
      </w:r>
      <w:r w:rsidR="001E70A0">
        <w:rPr>
          <w:rFonts w:ascii="Times New Roman" w:hAnsi="Times New Roman" w:cs="Times New Roman"/>
          <w:bCs/>
        </w:rPr>
        <w:t>(Billings &amp; Halstead, 2023)</w:t>
      </w:r>
    </w:p>
    <w:p w14:paraId="56C5CCFF" w14:textId="3A5D5C11" w:rsidR="00F864BB" w:rsidRDefault="00F864BB" w:rsidP="00025A7A">
      <w:pPr>
        <w:spacing w:line="480" w:lineRule="auto"/>
        <w:contextualSpacing/>
        <w:jc w:val="center"/>
        <w:rPr>
          <w:rFonts w:ascii="Times New Roman" w:hAnsi="Times New Roman" w:cs="Times New Roman"/>
          <w:b/>
        </w:rPr>
      </w:pPr>
      <w:r>
        <w:rPr>
          <w:rFonts w:ascii="Times New Roman" w:hAnsi="Times New Roman" w:cs="Times New Roman"/>
          <w:b/>
        </w:rPr>
        <w:t>Privacy and Confidentiality</w:t>
      </w:r>
    </w:p>
    <w:p w14:paraId="1B3CE58F" w14:textId="5E183FEB" w:rsidR="00F864BB" w:rsidRDefault="001E70A0" w:rsidP="001E70A0">
      <w:pPr>
        <w:spacing w:line="480" w:lineRule="auto"/>
        <w:contextualSpacing/>
        <w:rPr>
          <w:rFonts w:ascii="Times New Roman" w:hAnsi="Times New Roman" w:cs="Times New Roman"/>
          <w:bCs/>
        </w:rPr>
      </w:pPr>
      <w:r>
        <w:rPr>
          <w:rFonts w:ascii="Times New Roman" w:hAnsi="Times New Roman" w:cs="Times New Roman"/>
          <w:bCs/>
        </w:rPr>
        <w:tab/>
        <w:t xml:space="preserve">Considering in-person and virtual classes with the advancement of technology, the issue of privacy and confidentiality can be detrimental to the assessment process. Issues regarding the privacy of assessment data can lead to the unfortunate event of discrimination in student performance and mental health as this type of data is sensitive information. </w:t>
      </w:r>
      <w:r w:rsidR="00E35468">
        <w:rPr>
          <w:rFonts w:ascii="Times New Roman" w:hAnsi="Times New Roman" w:cs="Times New Roman"/>
          <w:bCs/>
        </w:rPr>
        <w:t>Educators' responsibility i</w:t>
      </w:r>
      <w:r>
        <w:rPr>
          <w:rFonts w:ascii="Times New Roman" w:hAnsi="Times New Roman" w:cs="Times New Roman"/>
          <w:bCs/>
        </w:rPr>
        <w:t xml:space="preserve">s to maintain a privacy standard regarding student assessment data; this includes protecting their assessment results and not disclosing their results to other </w:t>
      </w:r>
      <w:r w:rsidR="00E35468">
        <w:rPr>
          <w:rFonts w:ascii="Times New Roman" w:hAnsi="Times New Roman" w:cs="Times New Roman"/>
          <w:bCs/>
        </w:rPr>
        <w:t xml:space="preserve">teachers. </w:t>
      </w:r>
      <w:r w:rsidR="00850E38">
        <w:rPr>
          <w:rFonts w:ascii="Times New Roman" w:hAnsi="Times New Roman" w:cs="Times New Roman"/>
          <w:bCs/>
        </w:rPr>
        <w:t xml:space="preserve">(Oermann et al., 2024) </w:t>
      </w:r>
      <w:r w:rsidR="00850E38">
        <w:rPr>
          <w:rFonts w:ascii="Times New Roman" w:hAnsi="Times New Roman" w:cs="Times New Roman"/>
          <w:bCs/>
        </w:rPr>
        <w:t>With the advancement of technology, the concept of privacy and confidentiality has become more complex due to the threat of hackers. (</w:t>
      </w:r>
      <w:proofErr w:type="spellStart"/>
      <w:r w:rsidR="00850E38">
        <w:rPr>
          <w:rFonts w:ascii="Times New Roman" w:hAnsi="Times New Roman" w:cs="Times New Roman"/>
          <w:bCs/>
        </w:rPr>
        <w:t>Alier</w:t>
      </w:r>
      <w:proofErr w:type="spellEnd"/>
      <w:r w:rsidR="00850E38">
        <w:rPr>
          <w:rFonts w:ascii="Times New Roman" w:hAnsi="Times New Roman" w:cs="Times New Roman"/>
          <w:bCs/>
        </w:rPr>
        <w:t xml:space="preserve"> et al., 2021) Technological advancement and artificial intelligence (AI) have led to privacy and surveillance issues. Privacy is compromised because assessment data and surveillance are exposed because of the potential hackers who can track locations. (</w:t>
      </w:r>
      <w:proofErr w:type="spellStart"/>
      <w:r w:rsidR="00850E38">
        <w:rPr>
          <w:rFonts w:ascii="Times New Roman" w:hAnsi="Times New Roman" w:cs="Times New Roman"/>
          <w:bCs/>
        </w:rPr>
        <w:t>Akgun</w:t>
      </w:r>
      <w:proofErr w:type="spellEnd"/>
      <w:r w:rsidR="00850E38">
        <w:rPr>
          <w:rFonts w:ascii="Times New Roman" w:hAnsi="Times New Roman" w:cs="Times New Roman"/>
          <w:bCs/>
        </w:rPr>
        <w:t xml:space="preserve"> &amp; Greenhow, 2021) </w:t>
      </w:r>
      <w:r w:rsidR="000362E6">
        <w:rPr>
          <w:rFonts w:ascii="Times New Roman" w:hAnsi="Times New Roman" w:cs="Times New Roman"/>
          <w:bCs/>
        </w:rPr>
        <w:t xml:space="preserve">With the exposure and lack of security of assessment data, another domino effect can kick in regarding the </w:t>
      </w:r>
      <w:r w:rsidR="00B21CE9">
        <w:rPr>
          <w:rFonts w:ascii="Times New Roman" w:hAnsi="Times New Roman" w:cs="Times New Roman"/>
          <w:bCs/>
        </w:rPr>
        <w:t>school's credibility as students will begin to distrust their academic facilities. (</w:t>
      </w:r>
      <w:proofErr w:type="spellStart"/>
      <w:r w:rsidR="00B21CE9">
        <w:rPr>
          <w:rFonts w:ascii="Times New Roman" w:hAnsi="Times New Roman" w:cs="Times New Roman"/>
          <w:bCs/>
        </w:rPr>
        <w:t>Mutimukwe</w:t>
      </w:r>
      <w:proofErr w:type="spellEnd"/>
      <w:r w:rsidR="00B21CE9">
        <w:rPr>
          <w:rFonts w:ascii="Times New Roman" w:hAnsi="Times New Roman" w:cs="Times New Roman"/>
          <w:bCs/>
        </w:rPr>
        <w:t xml:space="preserve"> et al., 2022)</w:t>
      </w:r>
    </w:p>
    <w:p w14:paraId="0B22D4A7" w14:textId="2F20A070" w:rsidR="001E70A0" w:rsidRPr="006D088D" w:rsidRDefault="00B21CE9" w:rsidP="006D088D">
      <w:pPr>
        <w:spacing w:line="480" w:lineRule="auto"/>
        <w:contextualSpacing/>
        <w:rPr>
          <w:rFonts w:ascii="Times New Roman" w:hAnsi="Times New Roman" w:cs="Times New Roman"/>
          <w:bCs/>
        </w:rPr>
      </w:pPr>
      <w:r>
        <w:rPr>
          <w:rFonts w:ascii="Times New Roman" w:hAnsi="Times New Roman" w:cs="Times New Roman"/>
          <w:bCs/>
        </w:rPr>
        <w:lastRenderedPageBreak/>
        <w:tab/>
        <w:t xml:space="preserve">To prevent the consequences of improper assessment data protection, educators must be aware of how to protect the data by utilizing strategies. One strategy is not to post someone’s grades publicly and be aware that even though it’s in a private setting, it doesn’t mean it’s not protected. It’s also important to consider that once it’s posted, it can still be accessed even when deleted. Consideration of using protected programs to post data that can only be accessible by your facility requiring specific log-in information into a protected online learning management system, including Canvas or Blackboard, should be addressed and used. </w:t>
      </w:r>
      <w:r>
        <w:rPr>
          <w:rFonts w:ascii="Times New Roman" w:hAnsi="Times New Roman" w:cs="Times New Roman"/>
          <w:bCs/>
        </w:rPr>
        <w:t>(Billings &amp; Halstead, 2023)</w:t>
      </w:r>
      <w:r>
        <w:rPr>
          <w:rFonts w:ascii="Times New Roman" w:hAnsi="Times New Roman" w:cs="Times New Roman"/>
          <w:bCs/>
        </w:rPr>
        <w:t xml:space="preserve"> </w:t>
      </w:r>
      <w:r w:rsidR="00A73DE8">
        <w:rPr>
          <w:rFonts w:ascii="Times New Roman" w:hAnsi="Times New Roman" w:cs="Times New Roman"/>
          <w:bCs/>
        </w:rPr>
        <w:t>When</w:t>
      </w:r>
      <w:r>
        <w:rPr>
          <w:rFonts w:ascii="Times New Roman" w:hAnsi="Times New Roman" w:cs="Times New Roman"/>
          <w:bCs/>
        </w:rPr>
        <w:t xml:space="preserve"> a student’s assessment data gets compromised, damage control can be done </w:t>
      </w:r>
      <w:r w:rsidR="00A73DE8">
        <w:rPr>
          <w:rFonts w:ascii="Times New Roman" w:hAnsi="Times New Roman" w:cs="Times New Roman"/>
          <w:bCs/>
        </w:rPr>
        <w:t>before</w:t>
      </w:r>
      <w:r>
        <w:rPr>
          <w:rFonts w:ascii="Times New Roman" w:hAnsi="Times New Roman" w:cs="Times New Roman"/>
          <w:bCs/>
        </w:rPr>
        <w:t xml:space="preserve"> the compromise by putting the student’s data under an alias or specific username that only the teacher and the student know so the hacker won’t kno</w:t>
      </w:r>
      <w:r w:rsidR="00A73DE8">
        <w:rPr>
          <w:rFonts w:ascii="Times New Roman" w:hAnsi="Times New Roman" w:cs="Times New Roman"/>
          <w:bCs/>
        </w:rPr>
        <w:t xml:space="preserve">w who the data is referring to. </w:t>
      </w:r>
      <w:r w:rsidR="00A73DE8">
        <w:rPr>
          <w:rFonts w:ascii="Times New Roman" w:hAnsi="Times New Roman" w:cs="Times New Roman"/>
          <w:bCs/>
        </w:rPr>
        <w:t>(</w:t>
      </w:r>
      <w:proofErr w:type="spellStart"/>
      <w:r w:rsidR="00A73DE8">
        <w:rPr>
          <w:rFonts w:ascii="Times New Roman" w:hAnsi="Times New Roman" w:cs="Times New Roman"/>
          <w:bCs/>
        </w:rPr>
        <w:t>Alier</w:t>
      </w:r>
      <w:proofErr w:type="spellEnd"/>
      <w:r w:rsidR="00A73DE8">
        <w:rPr>
          <w:rFonts w:ascii="Times New Roman" w:hAnsi="Times New Roman" w:cs="Times New Roman"/>
          <w:bCs/>
        </w:rPr>
        <w:t xml:space="preserve"> et al., 2021)</w:t>
      </w:r>
    </w:p>
    <w:p w14:paraId="1D67679B" w14:textId="422A48B7" w:rsidR="00F864BB" w:rsidRDefault="00F864BB" w:rsidP="00025A7A">
      <w:pPr>
        <w:spacing w:line="480" w:lineRule="auto"/>
        <w:contextualSpacing/>
        <w:jc w:val="center"/>
        <w:rPr>
          <w:rFonts w:ascii="Times New Roman" w:hAnsi="Times New Roman" w:cs="Times New Roman"/>
          <w:b/>
        </w:rPr>
      </w:pPr>
      <w:r>
        <w:rPr>
          <w:rFonts w:ascii="Times New Roman" w:hAnsi="Times New Roman" w:cs="Times New Roman"/>
          <w:b/>
        </w:rPr>
        <w:t>Conclusion</w:t>
      </w:r>
    </w:p>
    <w:p w14:paraId="557ED134" w14:textId="459A018D" w:rsidR="00F864BB" w:rsidRDefault="0045110C" w:rsidP="0045110C">
      <w:pPr>
        <w:spacing w:line="480" w:lineRule="auto"/>
        <w:contextualSpacing/>
        <w:rPr>
          <w:rFonts w:ascii="Times New Roman" w:hAnsi="Times New Roman" w:cs="Times New Roman"/>
          <w:bCs/>
        </w:rPr>
      </w:pPr>
      <w:r>
        <w:rPr>
          <w:rFonts w:ascii="Times New Roman" w:hAnsi="Times New Roman" w:cs="Times New Roman"/>
          <w:bCs/>
        </w:rPr>
        <w:tab/>
        <w:t>Assessments are essential for a student’s learning process, so it’s essential to address the complex process and errors that may occur during a critique of a student’s assessment. Ethical issues, including assessment bias, are important to be aware of, and educators must take responsibility to prevent these ethical issues by providing the proper equity.</w:t>
      </w:r>
      <w:r w:rsidR="003035A3">
        <w:rPr>
          <w:rFonts w:ascii="Times New Roman" w:hAnsi="Times New Roman" w:cs="Times New Roman"/>
          <w:bCs/>
        </w:rPr>
        <w:t xml:space="preserve"> </w:t>
      </w:r>
      <w:r w:rsidR="003035A3">
        <w:rPr>
          <w:rFonts w:ascii="Times New Roman" w:hAnsi="Times New Roman" w:cs="Times New Roman"/>
          <w:bCs/>
        </w:rPr>
        <w:t>(Oermann et al., 2024)</w:t>
      </w:r>
      <w:r>
        <w:rPr>
          <w:rFonts w:ascii="Times New Roman" w:hAnsi="Times New Roman" w:cs="Times New Roman"/>
          <w:bCs/>
        </w:rPr>
        <w:t xml:space="preserve"> If the ethical issues aren’t addressed, the unethical and unprofessional attitudes negatively affect the teacher, student, and eventually the academic facility as a whole, like a domino effect. </w:t>
      </w:r>
      <w:r w:rsidR="003035A3">
        <w:rPr>
          <w:rFonts w:ascii="Times New Roman" w:hAnsi="Times New Roman" w:cs="Times New Roman"/>
          <w:bCs/>
        </w:rPr>
        <w:t xml:space="preserve">(Wang et al., 2021) </w:t>
      </w:r>
      <w:r>
        <w:rPr>
          <w:rFonts w:ascii="Times New Roman" w:hAnsi="Times New Roman" w:cs="Times New Roman"/>
          <w:bCs/>
        </w:rPr>
        <w:t>Nursing schools have historically prevented those with disabilities from being enrolled in their programs; however, with legal acts being signed into the 1990s and 2000s, discrimination on disabilities has been made illegal, and the right to accommodate the disabled into the program has helped with more inclusion</w:t>
      </w:r>
      <w:r w:rsidR="0078519D">
        <w:rPr>
          <w:rFonts w:ascii="Times New Roman" w:hAnsi="Times New Roman" w:cs="Times New Roman"/>
          <w:bCs/>
        </w:rPr>
        <w:t xml:space="preserve"> and retention of nursing students. </w:t>
      </w:r>
      <w:r w:rsidR="003035A3">
        <w:rPr>
          <w:rFonts w:ascii="Times New Roman" w:hAnsi="Times New Roman" w:cs="Times New Roman"/>
          <w:bCs/>
        </w:rPr>
        <w:t>(Oermann et al., 2024)</w:t>
      </w:r>
      <w:r w:rsidR="003035A3">
        <w:rPr>
          <w:rFonts w:ascii="Times New Roman" w:hAnsi="Times New Roman" w:cs="Times New Roman"/>
          <w:bCs/>
        </w:rPr>
        <w:t xml:space="preserve"> </w:t>
      </w:r>
      <w:r w:rsidR="0078519D">
        <w:rPr>
          <w:rFonts w:ascii="Times New Roman" w:hAnsi="Times New Roman" w:cs="Times New Roman"/>
          <w:bCs/>
        </w:rPr>
        <w:t xml:space="preserve">Interventions, including providing the students </w:t>
      </w:r>
      <w:r w:rsidR="00181209">
        <w:rPr>
          <w:rFonts w:ascii="Times New Roman" w:hAnsi="Times New Roman" w:cs="Times New Roman"/>
          <w:bCs/>
        </w:rPr>
        <w:t xml:space="preserve">with </w:t>
      </w:r>
      <w:r w:rsidR="0078519D">
        <w:rPr>
          <w:rFonts w:ascii="Times New Roman" w:hAnsi="Times New Roman" w:cs="Times New Roman"/>
          <w:bCs/>
        </w:rPr>
        <w:t xml:space="preserve">clear communication </w:t>
      </w:r>
      <w:r w:rsidR="00181209">
        <w:rPr>
          <w:rFonts w:ascii="Times New Roman" w:hAnsi="Times New Roman" w:cs="Times New Roman"/>
          <w:bCs/>
        </w:rPr>
        <w:t>of</w:t>
      </w:r>
      <w:r w:rsidR="0078519D">
        <w:rPr>
          <w:rFonts w:ascii="Times New Roman" w:hAnsi="Times New Roman" w:cs="Times New Roman"/>
          <w:bCs/>
        </w:rPr>
        <w:t xml:space="preserve"> their </w:t>
      </w:r>
      <w:r w:rsidR="0078519D">
        <w:rPr>
          <w:rFonts w:ascii="Times New Roman" w:hAnsi="Times New Roman" w:cs="Times New Roman"/>
          <w:bCs/>
        </w:rPr>
        <w:lastRenderedPageBreak/>
        <w:t xml:space="preserve">rights and expectations, will help prevent legal issues regarding the student and the academic facility and prevent legal consequences, including lawsuits, which can eventually lead to discrediting the academic facility due to a culture of defensive learning. </w:t>
      </w:r>
      <w:r w:rsidR="003035A3">
        <w:rPr>
          <w:rFonts w:ascii="Times New Roman" w:hAnsi="Times New Roman" w:cs="Times New Roman"/>
          <w:bCs/>
        </w:rPr>
        <w:t>(Billings &amp; Halstead, 2023)</w:t>
      </w:r>
      <w:r w:rsidR="003035A3">
        <w:rPr>
          <w:rFonts w:ascii="Times New Roman" w:hAnsi="Times New Roman" w:cs="Times New Roman"/>
          <w:bCs/>
        </w:rPr>
        <w:t xml:space="preserve"> </w:t>
      </w:r>
      <w:r w:rsidR="00181209">
        <w:rPr>
          <w:rFonts w:ascii="Times New Roman" w:hAnsi="Times New Roman" w:cs="Times New Roman"/>
          <w:bCs/>
        </w:rPr>
        <w:t xml:space="preserve">With the advancement of technology, it’s essential to consider the threat of assessment data being hacked along with the obligation of educators to protect that data with interventions regarding proper consideration and safeguarding of data as well as the consideration of using an alias for data in the situation when data has been compromised. Preventing </w:t>
      </w:r>
      <w:r w:rsidR="009B368B">
        <w:rPr>
          <w:rFonts w:ascii="Times New Roman" w:hAnsi="Times New Roman" w:cs="Times New Roman"/>
          <w:bCs/>
        </w:rPr>
        <w:t>data compromise</w:t>
      </w:r>
      <w:r w:rsidR="00181209">
        <w:rPr>
          <w:rFonts w:ascii="Times New Roman" w:hAnsi="Times New Roman" w:cs="Times New Roman"/>
          <w:bCs/>
        </w:rPr>
        <w:t xml:space="preserve"> is important because it can lead to distrust</w:t>
      </w:r>
      <w:r w:rsidR="009B368B">
        <w:rPr>
          <w:rFonts w:ascii="Times New Roman" w:hAnsi="Times New Roman" w:cs="Times New Roman"/>
          <w:bCs/>
        </w:rPr>
        <w:t>ing</w:t>
      </w:r>
      <w:r w:rsidR="00181209">
        <w:rPr>
          <w:rFonts w:ascii="Times New Roman" w:hAnsi="Times New Roman" w:cs="Times New Roman"/>
          <w:bCs/>
        </w:rPr>
        <w:t xml:space="preserve"> the academic facility. </w:t>
      </w:r>
      <w:r w:rsidR="003035A3">
        <w:rPr>
          <w:rFonts w:ascii="Times New Roman" w:hAnsi="Times New Roman" w:cs="Times New Roman"/>
          <w:bCs/>
        </w:rPr>
        <w:t>(</w:t>
      </w:r>
      <w:proofErr w:type="spellStart"/>
      <w:r w:rsidR="003035A3">
        <w:rPr>
          <w:rFonts w:ascii="Times New Roman" w:hAnsi="Times New Roman" w:cs="Times New Roman"/>
          <w:bCs/>
        </w:rPr>
        <w:t>Alier</w:t>
      </w:r>
      <w:proofErr w:type="spellEnd"/>
      <w:r w:rsidR="003035A3">
        <w:rPr>
          <w:rFonts w:ascii="Times New Roman" w:hAnsi="Times New Roman" w:cs="Times New Roman"/>
          <w:bCs/>
        </w:rPr>
        <w:t xml:space="preserve"> et al., 2021)</w:t>
      </w:r>
      <w:r w:rsidR="003035A3">
        <w:rPr>
          <w:rFonts w:ascii="Times New Roman" w:hAnsi="Times New Roman" w:cs="Times New Roman"/>
          <w:bCs/>
        </w:rPr>
        <w:t xml:space="preserve"> </w:t>
      </w:r>
      <w:r w:rsidR="003035A3">
        <w:rPr>
          <w:rFonts w:ascii="Times New Roman" w:hAnsi="Times New Roman" w:cs="Times New Roman"/>
          <w:bCs/>
        </w:rPr>
        <w:t>(</w:t>
      </w:r>
      <w:proofErr w:type="spellStart"/>
      <w:r w:rsidR="003035A3">
        <w:rPr>
          <w:rFonts w:ascii="Times New Roman" w:hAnsi="Times New Roman" w:cs="Times New Roman"/>
          <w:bCs/>
        </w:rPr>
        <w:t>Akgun</w:t>
      </w:r>
      <w:proofErr w:type="spellEnd"/>
      <w:r w:rsidR="003035A3">
        <w:rPr>
          <w:rFonts w:ascii="Times New Roman" w:hAnsi="Times New Roman" w:cs="Times New Roman"/>
          <w:bCs/>
        </w:rPr>
        <w:t xml:space="preserve"> &amp; Greenhow, 2021)</w:t>
      </w:r>
    </w:p>
    <w:p w14:paraId="2F4A8980" w14:textId="04704CB5" w:rsidR="009B368B" w:rsidRPr="00F864BB" w:rsidRDefault="009B368B" w:rsidP="0045110C">
      <w:pPr>
        <w:spacing w:line="480" w:lineRule="auto"/>
        <w:contextualSpacing/>
        <w:rPr>
          <w:rFonts w:ascii="Times New Roman" w:hAnsi="Times New Roman" w:cs="Times New Roman"/>
          <w:bCs/>
        </w:rPr>
      </w:pPr>
      <w:r>
        <w:rPr>
          <w:rFonts w:ascii="Times New Roman" w:hAnsi="Times New Roman" w:cs="Times New Roman"/>
          <w:bCs/>
        </w:rPr>
        <w:tab/>
        <w:t xml:space="preserve">Reflecting on ethical and </w:t>
      </w:r>
      <w:r w:rsidR="007F1985">
        <w:rPr>
          <w:rFonts w:ascii="Times New Roman" w:hAnsi="Times New Roman" w:cs="Times New Roman"/>
          <w:bCs/>
        </w:rPr>
        <w:t xml:space="preserve">legal </w:t>
      </w:r>
      <w:r>
        <w:rPr>
          <w:rFonts w:ascii="Times New Roman" w:hAnsi="Times New Roman" w:cs="Times New Roman"/>
          <w:bCs/>
        </w:rPr>
        <w:t xml:space="preserve">assessment practices in educational settings, </w:t>
      </w:r>
      <w:r w:rsidR="007F1985">
        <w:rPr>
          <w:rFonts w:ascii="Times New Roman" w:hAnsi="Times New Roman" w:cs="Times New Roman"/>
          <w:bCs/>
        </w:rPr>
        <w:t>they’re essential</w:t>
      </w:r>
      <w:r>
        <w:rPr>
          <w:rFonts w:ascii="Times New Roman" w:hAnsi="Times New Roman" w:cs="Times New Roman"/>
          <w:bCs/>
        </w:rPr>
        <w:t xml:space="preserve"> because they’ll prevent distrust of the student-teacher relationship and the domino effect of distrusting the academic facility. Along with </w:t>
      </w:r>
      <w:r w:rsidR="007F1985">
        <w:rPr>
          <w:rFonts w:ascii="Times New Roman" w:hAnsi="Times New Roman" w:cs="Times New Roman"/>
          <w:bCs/>
        </w:rPr>
        <w:t>students'</w:t>
      </w:r>
      <w:r>
        <w:rPr>
          <w:rFonts w:ascii="Times New Roman" w:hAnsi="Times New Roman" w:cs="Times New Roman"/>
          <w:bCs/>
        </w:rPr>
        <w:t xml:space="preserve"> </w:t>
      </w:r>
      <w:r w:rsidR="007F1985">
        <w:rPr>
          <w:rFonts w:ascii="Times New Roman" w:hAnsi="Times New Roman" w:cs="Times New Roman"/>
          <w:bCs/>
        </w:rPr>
        <w:t xml:space="preserve">fairness, equity, and well-being, preventing ethical and legal issues will create a better mental health environment for the students as it will facilitate a safe learning environment. Regarding ethical assessment practices, equity is the main theme regarding these interventions. While </w:t>
      </w:r>
      <w:r w:rsidR="003035A3">
        <w:rPr>
          <w:rFonts w:ascii="Times New Roman" w:hAnsi="Times New Roman" w:cs="Times New Roman"/>
          <w:bCs/>
        </w:rPr>
        <w:t>allowing the students</w:t>
      </w:r>
      <w:r w:rsidR="007F1985">
        <w:rPr>
          <w:rFonts w:ascii="Times New Roman" w:hAnsi="Times New Roman" w:cs="Times New Roman"/>
          <w:bCs/>
        </w:rPr>
        <w:t xml:space="preserve"> to prove themselves and not draw conclusions till the end of the course, </w:t>
      </w:r>
      <w:r w:rsidR="003035A3">
        <w:rPr>
          <w:rFonts w:ascii="Times New Roman" w:hAnsi="Times New Roman" w:cs="Times New Roman"/>
          <w:bCs/>
        </w:rPr>
        <w:t xml:space="preserve">it’s essential to </w:t>
      </w:r>
      <w:r w:rsidR="007F1985">
        <w:rPr>
          <w:rFonts w:ascii="Times New Roman" w:hAnsi="Times New Roman" w:cs="Times New Roman"/>
          <w:bCs/>
        </w:rPr>
        <w:t>provid</w:t>
      </w:r>
      <w:r w:rsidR="003035A3">
        <w:rPr>
          <w:rFonts w:ascii="Times New Roman" w:hAnsi="Times New Roman" w:cs="Times New Roman"/>
          <w:bCs/>
        </w:rPr>
        <w:t>e</w:t>
      </w:r>
      <w:r w:rsidR="007F1985">
        <w:rPr>
          <w:rFonts w:ascii="Times New Roman" w:hAnsi="Times New Roman" w:cs="Times New Roman"/>
          <w:bCs/>
        </w:rPr>
        <w:t xml:space="preserve"> tutoring sessions to help those who are </w:t>
      </w:r>
      <w:r w:rsidR="003035A3">
        <w:rPr>
          <w:rFonts w:ascii="Times New Roman" w:hAnsi="Times New Roman" w:cs="Times New Roman"/>
          <w:bCs/>
        </w:rPr>
        <w:t xml:space="preserve">struggling academically, provide flexible learning times to those who have busy schedules with the use of technology, and provide on-campus child care for those with children. Legal assessment practices include clear communication with the students on their expectations, the right to access their work and the evidence of written work in a file until completed, and updating policies as needed to adapt the new curriculum while notifying the students of the updates. Lastly, aside from clear communication and expectations, the central </w:t>
      </w:r>
      <w:r w:rsidR="003035A3">
        <w:rPr>
          <w:rFonts w:ascii="Times New Roman" w:hAnsi="Times New Roman" w:cs="Times New Roman"/>
          <w:bCs/>
        </w:rPr>
        <w:lastRenderedPageBreak/>
        <w:t xml:space="preserve">theme regarding legal issues in assessment data is allowing students to explain themselves when legal issues occur. </w:t>
      </w:r>
      <w:r w:rsidR="003035A3">
        <w:rPr>
          <w:rFonts w:ascii="Times New Roman" w:hAnsi="Times New Roman" w:cs="Times New Roman"/>
          <w:bCs/>
        </w:rPr>
        <w:t>(Billings &amp; Halstead, 2023)</w:t>
      </w:r>
    </w:p>
    <w:p w14:paraId="6D23C84A" w14:textId="77777777" w:rsidR="00D57058" w:rsidRDefault="00D57058" w:rsidP="00025A7A">
      <w:pPr>
        <w:spacing w:line="480" w:lineRule="auto"/>
        <w:contextualSpacing/>
        <w:jc w:val="center"/>
        <w:rPr>
          <w:rFonts w:ascii="Times New Roman" w:hAnsi="Times New Roman" w:cs="Times New Roman"/>
          <w:b/>
        </w:rPr>
      </w:pPr>
    </w:p>
    <w:p w14:paraId="56B0468E" w14:textId="77777777" w:rsidR="00D57058" w:rsidRDefault="00D57058" w:rsidP="00025A7A">
      <w:pPr>
        <w:spacing w:line="480" w:lineRule="auto"/>
        <w:contextualSpacing/>
        <w:jc w:val="center"/>
        <w:rPr>
          <w:rFonts w:ascii="Times New Roman" w:hAnsi="Times New Roman" w:cs="Times New Roman"/>
          <w:b/>
        </w:rPr>
      </w:pPr>
    </w:p>
    <w:p w14:paraId="78275B9E" w14:textId="77777777" w:rsidR="00D57058" w:rsidRDefault="00D57058" w:rsidP="00025A7A">
      <w:pPr>
        <w:spacing w:line="480" w:lineRule="auto"/>
        <w:contextualSpacing/>
        <w:jc w:val="center"/>
        <w:rPr>
          <w:rFonts w:ascii="Times New Roman" w:hAnsi="Times New Roman" w:cs="Times New Roman"/>
          <w:b/>
        </w:rPr>
      </w:pPr>
    </w:p>
    <w:p w14:paraId="308570C9" w14:textId="77777777" w:rsidR="00D57058" w:rsidRDefault="00D57058" w:rsidP="00025A7A">
      <w:pPr>
        <w:spacing w:line="480" w:lineRule="auto"/>
        <w:contextualSpacing/>
        <w:jc w:val="center"/>
        <w:rPr>
          <w:rFonts w:ascii="Times New Roman" w:hAnsi="Times New Roman" w:cs="Times New Roman"/>
          <w:b/>
        </w:rPr>
      </w:pPr>
    </w:p>
    <w:p w14:paraId="0659B9BF" w14:textId="77777777" w:rsidR="00D57058" w:rsidRDefault="00D57058" w:rsidP="00025A7A">
      <w:pPr>
        <w:spacing w:line="480" w:lineRule="auto"/>
        <w:contextualSpacing/>
        <w:jc w:val="center"/>
        <w:rPr>
          <w:rFonts w:ascii="Times New Roman" w:hAnsi="Times New Roman" w:cs="Times New Roman"/>
          <w:b/>
        </w:rPr>
      </w:pPr>
    </w:p>
    <w:p w14:paraId="5AFCAB1F" w14:textId="77777777" w:rsidR="00D57058" w:rsidRDefault="00D57058" w:rsidP="00025A7A">
      <w:pPr>
        <w:spacing w:line="480" w:lineRule="auto"/>
        <w:contextualSpacing/>
        <w:jc w:val="center"/>
        <w:rPr>
          <w:rFonts w:ascii="Times New Roman" w:hAnsi="Times New Roman" w:cs="Times New Roman"/>
          <w:b/>
        </w:rPr>
      </w:pPr>
    </w:p>
    <w:p w14:paraId="1B4B6193" w14:textId="77777777" w:rsidR="00D57058" w:rsidRDefault="00D57058" w:rsidP="00025A7A">
      <w:pPr>
        <w:spacing w:line="480" w:lineRule="auto"/>
        <w:contextualSpacing/>
        <w:jc w:val="center"/>
        <w:rPr>
          <w:rFonts w:ascii="Times New Roman" w:hAnsi="Times New Roman" w:cs="Times New Roman"/>
          <w:b/>
        </w:rPr>
      </w:pPr>
    </w:p>
    <w:p w14:paraId="12D25D4D" w14:textId="77777777" w:rsidR="00D57058" w:rsidRDefault="00D57058" w:rsidP="00025A7A">
      <w:pPr>
        <w:spacing w:line="480" w:lineRule="auto"/>
        <w:contextualSpacing/>
        <w:jc w:val="center"/>
        <w:rPr>
          <w:rFonts w:ascii="Times New Roman" w:hAnsi="Times New Roman" w:cs="Times New Roman"/>
          <w:b/>
        </w:rPr>
      </w:pPr>
    </w:p>
    <w:p w14:paraId="05441627" w14:textId="77777777" w:rsidR="00D57058" w:rsidRDefault="00D57058" w:rsidP="00025A7A">
      <w:pPr>
        <w:spacing w:line="480" w:lineRule="auto"/>
        <w:contextualSpacing/>
        <w:jc w:val="center"/>
        <w:rPr>
          <w:rFonts w:ascii="Times New Roman" w:hAnsi="Times New Roman" w:cs="Times New Roman"/>
          <w:b/>
        </w:rPr>
      </w:pPr>
    </w:p>
    <w:p w14:paraId="7FD30C28" w14:textId="77777777" w:rsidR="00D57058" w:rsidRDefault="00D57058" w:rsidP="00025A7A">
      <w:pPr>
        <w:spacing w:line="480" w:lineRule="auto"/>
        <w:contextualSpacing/>
        <w:jc w:val="center"/>
        <w:rPr>
          <w:rFonts w:ascii="Times New Roman" w:hAnsi="Times New Roman" w:cs="Times New Roman"/>
          <w:b/>
        </w:rPr>
      </w:pPr>
    </w:p>
    <w:p w14:paraId="629318A2" w14:textId="77777777" w:rsidR="00D57058" w:rsidRDefault="00D57058" w:rsidP="00025A7A">
      <w:pPr>
        <w:spacing w:line="480" w:lineRule="auto"/>
        <w:contextualSpacing/>
        <w:jc w:val="center"/>
        <w:rPr>
          <w:rFonts w:ascii="Times New Roman" w:hAnsi="Times New Roman" w:cs="Times New Roman"/>
          <w:b/>
        </w:rPr>
      </w:pPr>
    </w:p>
    <w:p w14:paraId="7E9065B8" w14:textId="77777777" w:rsidR="00D57058" w:rsidRDefault="00D57058" w:rsidP="00025A7A">
      <w:pPr>
        <w:spacing w:line="480" w:lineRule="auto"/>
        <w:contextualSpacing/>
        <w:jc w:val="center"/>
        <w:rPr>
          <w:rFonts w:ascii="Times New Roman" w:hAnsi="Times New Roman" w:cs="Times New Roman"/>
          <w:b/>
        </w:rPr>
      </w:pPr>
    </w:p>
    <w:p w14:paraId="3CB9B535" w14:textId="77777777" w:rsidR="00F864BB" w:rsidRDefault="00F864BB" w:rsidP="00025A7A">
      <w:pPr>
        <w:spacing w:line="480" w:lineRule="auto"/>
        <w:contextualSpacing/>
        <w:jc w:val="center"/>
        <w:rPr>
          <w:rFonts w:ascii="Times New Roman" w:hAnsi="Times New Roman" w:cs="Times New Roman"/>
          <w:b/>
        </w:rPr>
      </w:pPr>
    </w:p>
    <w:p w14:paraId="7801F4CE" w14:textId="77777777" w:rsidR="003035A3" w:rsidRDefault="003035A3" w:rsidP="00025A7A">
      <w:pPr>
        <w:spacing w:line="480" w:lineRule="auto"/>
        <w:contextualSpacing/>
        <w:jc w:val="center"/>
        <w:rPr>
          <w:rFonts w:ascii="Times New Roman" w:hAnsi="Times New Roman" w:cs="Times New Roman"/>
          <w:b/>
        </w:rPr>
      </w:pPr>
    </w:p>
    <w:p w14:paraId="30EDA906" w14:textId="77777777" w:rsidR="003035A3" w:rsidRDefault="003035A3" w:rsidP="00025A7A">
      <w:pPr>
        <w:spacing w:line="480" w:lineRule="auto"/>
        <w:contextualSpacing/>
        <w:jc w:val="center"/>
        <w:rPr>
          <w:rFonts w:ascii="Times New Roman" w:hAnsi="Times New Roman" w:cs="Times New Roman"/>
          <w:b/>
        </w:rPr>
      </w:pPr>
    </w:p>
    <w:p w14:paraId="71E2375D" w14:textId="77777777" w:rsidR="003035A3" w:rsidRDefault="003035A3" w:rsidP="00025A7A">
      <w:pPr>
        <w:spacing w:line="480" w:lineRule="auto"/>
        <w:contextualSpacing/>
        <w:jc w:val="center"/>
        <w:rPr>
          <w:rFonts w:ascii="Times New Roman" w:hAnsi="Times New Roman" w:cs="Times New Roman"/>
          <w:b/>
        </w:rPr>
      </w:pPr>
    </w:p>
    <w:p w14:paraId="683DCE35" w14:textId="77777777" w:rsidR="003035A3" w:rsidRDefault="003035A3" w:rsidP="00025A7A">
      <w:pPr>
        <w:spacing w:line="480" w:lineRule="auto"/>
        <w:contextualSpacing/>
        <w:jc w:val="center"/>
        <w:rPr>
          <w:rFonts w:ascii="Times New Roman" w:hAnsi="Times New Roman" w:cs="Times New Roman"/>
          <w:b/>
        </w:rPr>
      </w:pPr>
    </w:p>
    <w:p w14:paraId="38A6CA7B" w14:textId="77777777" w:rsidR="003035A3" w:rsidRDefault="003035A3" w:rsidP="00025A7A">
      <w:pPr>
        <w:spacing w:line="480" w:lineRule="auto"/>
        <w:contextualSpacing/>
        <w:jc w:val="center"/>
        <w:rPr>
          <w:rFonts w:ascii="Times New Roman" w:hAnsi="Times New Roman" w:cs="Times New Roman"/>
          <w:b/>
        </w:rPr>
      </w:pPr>
    </w:p>
    <w:p w14:paraId="6AC6B092" w14:textId="77777777" w:rsidR="003035A3" w:rsidRDefault="003035A3" w:rsidP="00025A7A">
      <w:pPr>
        <w:spacing w:line="480" w:lineRule="auto"/>
        <w:contextualSpacing/>
        <w:jc w:val="center"/>
        <w:rPr>
          <w:rFonts w:ascii="Times New Roman" w:hAnsi="Times New Roman" w:cs="Times New Roman"/>
          <w:b/>
        </w:rPr>
      </w:pPr>
    </w:p>
    <w:p w14:paraId="76A2B119" w14:textId="77777777" w:rsidR="003035A3" w:rsidRDefault="003035A3" w:rsidP="00025A7A">
      <w:pPr>
        <w:spacing w:line="480" w:lineRule="auto"/>
        <w:contextualSpacing/>
        <w:jc w:val="center"/>
        <w:rPr>
          <w:rFonts w:ascii="Times New Roman" w:hAnsi="Times New Roman" w:cs="Times New Roman"/>
          <w:b/>
        </w:rPr>
      </w:pPr>
    </w:p>
    <w:p w14:paraId="3F69AD40" w14:textId="77777777" w:rsidR="003035A3" w:rsidRDefault="003035A3" w:rsidP="00025A7A">
      <w:pPr>
        <w:spacing w:line="480" w:lineRule="auto"/>
        <w:contextualSpacing/>
        <w:jc w:val="center"/>
        <w:rPr>
          <w:rFonts w:ascii="Times New Roman" w:hAnsi="Times New Roman" w:cs="Times New Roman"/>
          <w:b/>
        </w:rPr>
      </w:pPr>
    </w:p>
    <w:p w14:paraId="29911384" w14:textId="66E872FE" w:rsidR="00025A7A" w:rsidRDefault="00025A7A" w:rsidP="00025A7A">
      <w:pPr>
        <w:spacing w:line="480" w:lineRule="auto"/>
        <w:contextualSpacing/>
        <w:jc w:val="center"/>
        <w:rPr>
          <w:rFonts w:ascii="Times New Roman" w:hAnsi="Times New Roman" w:cs="Times New Roman"/>
          <w:b/>
        </w:rPr>
      </w:pPr>
      <w:r>
        <w:rPr>
          <w:rFonts w:ascii="Times New Roman" w:hAnsi="Times New Roman" w:cs="Times New Roman"/>
          <w:b/>
        </w:rPr>
        <w:lastRenderedPageBreak/>
        <w:t>References</w:t>
      </w:r>
    </w:p>
    <w:p w14:paraId="3D40B647" w14:textId="77777777" w:rsidR="00F864BB" w:rsidRDefault="00F864BB" w:rsidP="00F864BB">
      <w:pPr>
        <w:pStyle w:val="NormalWeb"/>
        <w:ind w:left="567" w:hanging="567"/>
      </w:pPr>
      <w:proofErr w:type="spellStart"/>
      <w:r>
        <w:t>Akgun</w:t>
      </w:r>
      <w:proofErr w:type="spellEnd"/>
      <w:r>
        <w:t xml:space="preserve">, S., &amp; Greenhow, C. (2021). Artificial Intelligence in education: Addressing ethical challenges in K-12 settings. </w:t>
      </w:r>
      <w:r>
        <w:rPr>
          <w:i/>
          <w:iCs/>
        </w:rPr>
        <w:t>AI and Ethics</w:t>
      </w:r>
      <w:r>
        <w:t xml:space="preserve">, </w:t>
      </w:r>
      <w:r>
        <w:rPr>
          <w:i/>
          <w:iCs/>
        </w:rPr>
        <w:t>2</w:t>
      </w:r>
      <w:r>
        <w:t xml:space="preserve">(3), 431–440. https://doi.org/10.1007/s43681-021-00096-7 </w:t>
      </w:r>
    </w:p>
    <w:p w14:paraId="769D84C7" w14:textId="77777777" w:rsidR="00F864BB" w:rsidRDefault="00F864BB" w:rsidP="00F864BB">
      <w:pPr>
        <w:pStyle w:val="NormalWeb"/>
        <w:ind w:left="567" w:hanging="567"/>
      </w:pPr>
      <w:proofErr w:type="spellStart"/>
      <w:r>
        <w:t>Alier</w:t>
      </w:r>
      <w:proofErr w:type="spellEnd"/>
      <w:r>
        <w:t xml:space="preserve">, M., </w:t>
      </w:r>
      <w:proofErr w:type="spellStart"/>
      <w:r>
        <w:t>Casañ</w:t>
      </w:r>
      <w:proofErr w:type="spellEnd"/>
      <w:r>
        <w:t xml:space="preserve"> Guerrero, M. J., Amo, D., Severance, C., &amp; Fonseca, D. (2021). Privacy and e-learning: A pending task. </w:t>
      </w:r>
      <w:r>
        <w:rPr>
          <w:i/>
          <w:iCs/>
        </w:rPr>
        <w:t>Sustainability</w:t>
      </w:r>
      <w:r>
        <w:t xml:space="preserve">, </w:t>
      </w:r>
      <w:r>
        <w:rPr>
          <w:i/>
          <w:iCs/>
        </w:rPr>
        <w:t>13</w:t>
      </w:r>
      <w:r>
        <w:t xml:space="preserve">(16), 9206. https://doi.org/10.3390/su13169206 </w:t>
      </w:r>
    </w:p>
    <w:p w14:paraId="13FBAEF9" w14:textId="77777777" w:rsidR="00F864BB" w:rsidRDefault="00F864BB" w:rsidP="00F864BB">
      <w:pPr>
        <w:pStyle w:val="NormalWeb"/>
        <w:ind w:left="567" w:hanging="567"/>
      </w:pPr>
      <w:r>
        <w:t xml:space="preserve">Billings, D. M., &amp; Halstead, J. A. (2023). </w:t>
      </w:r>
      <w:r>
        <w:rPr>
          <w:i/>
          <w:iCs/>
        </w:rPr>
        <w:t>Teaching in nursing: A guide for faculty, 7th education</w:t>
      </w:r>
      <w:r>
        <w:t xml:space="preserve"> (7th ed.). Elsevier. </w:t>
      </w:r>
    </w:p>
    <w:p w14:paraId="3974307E" w14:textId="77777777" w:rsidR="00F864BB" w:rsidRDefault="00F864BB" w:rsidP="00F864BB">
      <w:pPr>
        <w:pStyle w:val="NormalWeb"/>
        <w:ind w:left="567" w:hanging="567"/>
      </w:pPr>
      <w:r>
        <w:t xml:space="preserve">Davies, T. A. (2009, October 1). </w:t>
      </w:r>
      <w:r>
        <w:rPr>
          <w:i/>
          <w:iCs/>
        </w:rPr>
        <w:t>The Worrisome State of Legal Literacy among Teachers and Administrators</w:t>
      </w:r>
      <w:r>
        <w:t xml:space="preserve">. Canadian Journal for New Scholars in Education. https://cjc-rcc.ucalgary.ca/index.php/cjnse/article/view/30455 </w:t>
      </w:r>
    </w:p>
    <w:p w14:paraId="397527CB" w14:textId="77777777" w:rsidR="00F864BB" w:rsidRDefault="00F864BB" w:rsidP="00F864BB">
      <w:pPr>
        <w:pStyle w:val="NormalWeb"/>
        <w:ind w:left="567" w:hanging="567"/>
      </w:pPr>
      <w:proofErr w:type="spellStart"/>
      <w:r>
        <w:t>Mutimukwe</w:t>
      </w:r>
      <w:proofErr w:type="spellEnd"/>
      <w:r>
        <w:t xml:space="preserve">, C., </w:t>
      </w:r>
      <w:proofErr w:type="spellStart"/>
      <w:r>
        <w:t>Viberg</w:t>
      </w:r>
      <w:proofErr w:type="spellEnd"/>
      <w:r>
        <w:t xml:space="preserve">, O., Oberg, L., &amp; </w:t>
      </w:r>
      <w:proofErr w:type="spellStart"/>
      <w:r>
        <w:t>Cerratto‐Pargman</w:t>
      </w:r>
      <w:proofErr w:type="spellEnd"/>
      <w:r>
        <w:t xml:space="preserve">, T. (2022). Students’ privacy concerns in Learning analytics: Model development. </w:t>
      </w:r>
      <w:r>
        <w:rPr>
          <w:i/>
          <w:iCs/>
        </w:rPr>
        <w:t>British Journal of Educational Technology</w:t>
      </w:r>
      <w:r>
        <w:t xml:space="preserve">, </w:t>
      </w:r>
      <w:r>
        <w:rPr>
          <w:i/>
          <w:iCs/>
        </w:rPr>
        <w:t>53</w:t>
      </w:r>
      <w:r>
        <w:t xml:space="preserve">(4), 932–951. https://doi.org/10.1111/bjet.13234 </w:t>
      </w:r>
    </w:p>
    <w:p w14:paraId="5E845E4D" w14:textId="77777777" w:rsidR="00F864BB" w:rsidRDefault="00F864BB" w:rsidP="00F864BB">
      <w:pPr>
        <w:pStyle w:val="NormalWeb"/>
        <w:ind w:left="567" w:hanging="567"/>
      </w:pPr>
      <w:r>
        <w:t xml:space="preserve">Oermann, M. H., </w:t>
      </w:r>
      <w:proofErr w:type="spellStart"/>
      <w:r>
        <w:t>Gaberson</w:t>
      </w:r>
      <w:proofErr w:type="spellEnd"/>
      <w:r>
        <w:t xml:space="preserve">, K. B., &amp; De Gagne, J. C. (2024). </w:t>
      </w:r>
      <w:r>
        <w:rPr>
          <w:i/>
          <w:iCs/>
        </w:rPr>
        <w:t>Evaluation and testing in nursing education</w:t>
      </w:r>
      <w:r>
        <w:t xml:space="preserve"> (7th ed.). SPRINGER PUB CO INC. </w:t>
      </w:r>
    </w:p>
    <w:p w14:paraId="31CA7BF9" w14:textId="5F562157" w:rsidR="005D1ABB" w:rsidRDefault="005D1ABB" w:rsidP="005D1ABB">
      <w:pPr>
        <w:pStyle w:val="NormalWeb"/>
        <w:ind w:left="567" w:hanging="567"/>
      </w:pPr>
      <w:r>
        <w:t xml:space="preserve">SCHIMMEL, D., &amp; MILITELLO, M. (2007). Legal literacy for teachers: A neglected responsibility. </w:t>
      </w:r>
      <w:r>
        <w:rPr>
          <w:i/>
          <w:iCs/>
        </w:rPr>
        <w:t>Harvard Educational Review</w:t>
      </w:r>
      <w:r>
        <w:t xml:space="preserve">, </w:t>
      </w:r>
      <w:r>
        <w:rPr>
          <w:i/>
          <w:iCs/>
        </w:rPr>
        <w:t>77</w:t>
      </w:r>
      <w:r>
        <w:t xml:space="preserve">(3), 257–284. https://doi.org/10.17763/haer.77.3.842n787555138746 </w:t>
      </w:r>
    </w:p>
    <w:p w14:paraId="17229BB9" w14:textId="77777777" w:rsidR="00F864BB" w:rsidRDefault="00F864BB" w:rsidP="00F864BB">
      <w:pPr>
        <w:pStyle w:val="NormalWeb"/>
        <w:ind w:left="567" w:hanging="567"/>
      </w:pPr>
      <w:r>
        <w:t xml:space="preserve">Wang, J., Wang, X., Li, J., Zhao, C., Liu, M., &amp; Ye, B. (2021). Development and validation of an unethical professional behavior tendencies scale for student teachers. </w:t>
      </w:r>
      <w:r>
        <w:rPr>
          <w:i/>
          <w:iCs/>
        </w:rPr>
        <w:t>Frontiers in Psychology</w:t>
      </w:r>
      <w:r>
        <w:t xml:space="preserve">, </w:t>
      </w:r>
      <w:r>
        <w:rPr>
          <w:i/>
          <w:iCs/>
        </w:rPr>
        <w:t>12</w:t>
      </w:r>
      <w:r>
        <w:t xml:space="preserve">. https://doi.org/10.3389/fpsyg.2021.770681 </w:t>
      </w:r>
    </w:p>
    <w:p w14:paraId="5955FBBA" w14:textId="77777777" w:rsidR="00F864BB" w:rsidRDefault="00F864BB" w:rsidP="00025A7A">
      <w:pPr>
        <w:spacing w:line="480" w:lineRule="auto"/>
        <w:contextualSpacing/>
        <w:jc w:val="center"/>
        <w:rPr>
          <w:rFonts w:ascii="Times New Roman" w:hAnsi="Times New Roman" w:cs="Times New Roman"/>
          <w:b/>
        </w:rPr>
      </w:pPr>
    </w:p>
    <w:p w14:paraId="7C42FF11" w14:textId="77777777" w:rsidR="009F57A9" w:rsidRPr="009F57A9" w:rsidRDefault="009F57A9" w:rsidP="009F57A9">
      <w:pPr>
        <w:spacing w:line="480" w:lineRule="auto"/>
        <w:contextualSpacing/>
        <w:jc w:val="center"/>
        <w:rPr>
          <w:rFonts w:ascii="Times New Roman" w:hAnsi="Times New Roman" w:cs="Times New Roman"/>
          <w:b/>
        </w:rPr>
      </w:pPr>
    </w:p>
    <w:sectPr w:rsidR="009F57A9" w:rsidRPr="009F57A9" w:rsidSect="006B4EF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C8B0" w14:textId="77777777" w:rsidR="006B4EF8" w:rsidRDefault="006B4EF8" w:rsidP="00F25348">
      <w:r>
        <w:separator/>
      </w:r>
    </w:p>
  </w:endnote>
  <w:endnote w:type="continuationSeparator" w:id="0">
    <w:p w14:paraId="4592EEE0" w14:textId="77777777" w:rsidR="006B4EF8" w:rsidRDefault="006B4EF8"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2B95" w14:textId="77777777" w:rsidR="006B4EF8" w:rsidRDefault="006B4EF8" w:rsidP="00F25348">
      <w:r>
        <w:separator/>
      </w:r>
    </w:p>
  </w:footnote>
  <w:footnote w:type="continuationSeparator" w:id="0">
    <w:p w14:paraId="78859001" w14:textId="77777777" w:rsidR="006B4EF8" w:rsidRDefault="006B4EF8"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77777777" w:rsidR="00F25348" w:rsidRDefault="00F25348" w:rsidP="00F253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766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25A7A"/>
    <w:rsid w:val="000362E6"/>
    <w:rsid w:val="000A606D"/>
    <w:rsid w:val="00174599"/>
    <w:rsid w:val="00181209"/>
    <w:rsid w:val="001E70A0"/>
    <w:rsid w:val="002912E6"/>
    <w:rsid w:val="002D5012"/>
    <w:rsid w:val="003035A3"/>
    <w:rsid w:val="003B7C0A"/>
    <w:rsid w:val="0045110C"/>
    <w:rsid w:val="00451563"/>
    <w:rsid w:val="004654D7"/>
    <w:rsid w:val="00467260"/>
    <w:rsid w:val="004B5284"/>
    <w:rsid w:val="00554F10"/>
    <w:rsid w:val="005848C2"/>
    <w:rsid w:val="005C2928"/>
    <w:rsid w:val="005D1ABB"/>
    <w:rsid w:val="005F2E8B"/>
    <w:rsid w:val="00622352"/>
    <w:rsid w:val="00643709"/>
    <w:rsid w:val="006B4EF8"/>
    <w:rsid w:val="006D088D"/>
    <w:rsid w:val="0078519D"/>
    <w:rsid w:val="007C6AD5"/>
    <w:rsid w:val="007F1985"/>
    <w:rsid w:val="00835742"/>
    <w:rsid w:val="00850E38"/>
    <w:rsid w:val="00863B79"/>
    <w:rsid w:val="00866090"/>
    <w:rsid w:val="008A54F8"/>
    <w:rsid w:val="009211C2"/>
    <w:rsid w:val="00983E5C"/>
    <w:rsid w:val="009B368B"/>
    <w:rsid w:val="009F0AF6"/>
    <w:rsid w:val="009F57A9"/>
    <w:rsid w:val="00A73DE8"/>
    <w:rsid w:val="00AE16C4"/>
    <w:rsid w:val="00AF018E"/>
    <w:rsid w:val="00B1770D"/>
    <w:rsid w:val="00B21CE9"/>
    <w:rsid w:val="00B766E6"/>
    <w:rsid w:val="00BB442F"/>
    <w:rsid w:val="00C30931"/>
    <w:rsid w:val="00CE12C2"/>
    <w:rsid w:val="00CF355C"/>
    <w:rsid w:val="00D1753A"/>
    <w:rsid w:val="00D57058"/>
    <w:rsid w:val="00E347B6"/>
    <w:rsid w:val="00E35468"/>
    <w:rsid w:val="00F25348"/>
    <w:rsid w:val="00F64F1F"/>
    <w:rsid w:val="00F864BB"/>
    <w:rsid w:val="00F86CF7"/>
    <w:rsid w:val="00FB240A"/>
    <w:rsid w:val="00FB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paragraph" w:styleId="NormalWeb">
    <w:name w:val="Normal (Web)"/>
    <w:basedOn w:val="Normal"/>
    <w:uiPriority w:val="99"/>
    <w:semiHidden/>
    <w:unhideWhenUsed/>
    <w:rsid w:val="00F864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4028">
      <w:bodyDiv w:val="1"/>
      <w:marLeft w:val="0"/>
      <w:marRight w:val="0"/>
      <w:marTop w:val="0"/>
      <w:marBottom w:val="0"/>
      <w:divBdr>
        <w:top w:val="none" w:sz="0" w:space="0" w:color="auto"/>
        <w:left w:val="none" w:sz="0" w:space="0" w:color="auto"/>
        <w:bottom w:val="none" w:sz="0" w:space="0" w:color="auto"/>
        <w:right w:val="none" w:sz="0" w:space="0" w:color="auto"/>
      </w:divBdr>
    </w:div>
    <w:div w:id="158140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15</cp:revision>
  <dcterms:created xsi:type="dcterms:W3CDTF">2024-05-06T18:56:00Z</dcterms:created>
  <dcterms:modified xsi:type="dcterms:W3CDTF">2024-05-06T21:12:00Z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